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3" w:rsidRPr="005077F3" w:rsidRDefault="005077F3" w:rsidP="005077F3">
      <w:pPr>
        <w:spacing w:before="0" w:after="0" w:line="240" w:lineRule="auto"/>
        <w:jc w:val="center"/>
        <w:rPr>
          <w:sz w:val="24"/>
          <w:szCs w:val="24"/>
          <w:lang w:val="fr-FR"/>
        </w:rPr>
      </w:pPr>
    </w:p>
    <w:p w:rsidR="005077F3" w:rsidRPr="005077F3" w:rsidRDefault="005077F3" w:rsidP="005077F3">
      <w:pPr>
        <w:spacing w:before="0" w:after="0" w:line="240" w:lineRule="auto"/>
        <w:jc w:val="center"/>
        <w:rPr>
          <w:sz w:val="24"/>
          <w:szCs w:val="24"/>
          <w:lang w:val="fr-FR"/>
        </w:rPr>
      </w:pPr>
    </w:p>
    <w:p w:rsidR="005077F3" w:rsidRDefault="005077F3" w:rsidP="005077F3">
      <w:pPr>
        <w:spacing w:before="0" w:after="0" w:line="240" w:lineRule="auto"/>
        <w:jc w:val="center"/>
        <w:rPr>
          <w:b/>
          <w:sz w:val="24"/>
          <w:szCs w:val="24"/>
          <w:lang w:val="fr-FR"/>
        </w:rPr>
      </w:pPr>
      <w:r>
        <w:rPr>
          <w:b/>
          <w:sz w:val="24"/>
          <w:szCs w:val="24"/>
          <w:lang w:val="fr-FR"/>
        </w:rPr>
        <w:t>Attachement 2b</w:t>
      </w:r>
    </w:p>
    <w:p w:rsidR="005077F3" w:rsidRPr="005077F3" w:rsidRDefault="005077F3" w:rsidP="005077F3">
      <w:pPr>
        <w:spacing w:before="0" w:after="0" w:line="240" w:lineRule="auto"/>
        <w:jc w:val="center"/>
        <w:rPr>
          <w:sz w:val="24"/>
          <w:szCs w:val="24"/>
          <w:lang w:val="fr-FR"/>
        </w:rPr>
      </w:pPr>
    </w:p>
    <w:p w:rsidR="00086A2C" w:rsidRPr="00910268" w:rsidRDefault="00086A2C" w:rsidP="005077F3">
      <w:pPr>
        <w:spacing w:before="0" w:after="0" w:line="240" w:lineRule="auto"/>
        <w:jc w:val="center"/>
        <w:rPr>
          <w:b/>
          <w:sz w:val="24"/>
          <w:szCs w:val="24"/>
          <w:lang w:val="fr-FR"/>
        </w:rPr>
      </w:pPr>
      <w:r w:rsidRPr="00910268">
        <w:rPr>
          <w:b/>
          <w:sz w:val="24"/>
          <w:szCs w:val="24"/>
          <w:lang w:val="fr-FR"/>
        </w:rPr>
        <w:t xml:space="preserve">Questionnaire d'enquête sur la mise en œuvre de l'IWXXM </w:t>
      </w:r>
      <w:r w:rsidR="00910268">
        <w:rPr>
          <w:b/>
          <w:sz w:val="24"/>
          <w:szCs w:val="24"/>
          <w:lang w:val="fr-FR"/>
        </w:rPr>
        <w:t xml:space="preserve">dans la </w:t>
      </w:r>
      <w:r w:rsidRPr="00910268">
        <w:rPr>
          <w:b/>
          <w:sz w:val="24"/>
          <w:szCs w:val="24"/>
          <w:lang w:val="fr-FR"/>
        </w:rPr>
        <w:t>Région AFI</w:t>
      </w:r>
    </w:p>
    <w:p w:rsidR="00E44D12" w:rsidRDefault="00E44D12" w:rsidP="005077F3">
      <w:pPr>
        <w:spacing w:before="0" w:after="0" w:line="240" w:lineRule="auto"/>
        <w:jc w:val="both"/>
        <w:rPr>
          <w:lang w:val="fr-FR"/>
        </w:rPr>
      </w:pPr>
    </w:p>
    <w:p w:rsidR="00086A2C" w:rsidRDefault="00086A2C" w:rsidP="005077F3">
      <w:pPr>
        <w:spacing w:before="0" w:after="0" w:line="240" w:lineRule="auto"/>
        <w:jc w:val="both"/>
        <w:rPr>
          <w:lang w:val="fr-FR"/>
        </w:rPr>
      </w:pPr>
      <w:r w:rsidRPr="00086A2C">
        <w:rPr>
          <w:lang w:val="fr-FR"/>
        </w:rPr>
        <w:t>L'échange de données OPMET au format IWXXM de l'OACI a été introduit par l'amendement 76 de l'annexe 3 de l'OACI, rendu obligatoire par l'amendement 78 de l'annexe 3 de l'OACI et applicable par l'amendement 79 à partir de novembre 2020.</w:t>
      </w:r>
    </w:p>
    <w:p w:rsidR="005077F3" w:rsidRPr="00086A2C" w:rsidRDefault="005077F3" w:rsidP="005077F3">
      <w:pPr>
        <w:spacing w:before="0" w:after="0" w:line="240" w:lineRule="auto"/>
        <w:jc w:val="both"/>
        <w:rPr>
          <w:lang w:val="fr-FR"/>
        </w:rPr>
      </w:pPr>
    </w:p>
    <w:p w:rsidR="00086A2C" w:rsidRPr="00086A2C" w:rsidRDefault="00086A2C" w:rsidP="005077F3">
      <w:pPr>
        <w:spacing w:before="0" w:after="0" w:line="240" w:lineRule="auto"/>
        <w:jc w:val="both"/>
        <w:rPr>
          <w:lang w:val="fr-FR"/>
        </w:rPr>
      </w:pPr>
      <w:r w:rsidRPr="00086A2C">
        <w:rPr>
          <w:lang w:val="fr-FR"/>
        </w:rPr>
        <w:t>L'échange de données OPMET en format IWXXM sera basé sur le système de traitement des messages ATS, également connu sous le nom de service étendu du système de traitement météorologique aéronautique (AMHS), avec la fonctionnalité FTBP (File Transfer Body Part) pour le transport des fichiers joints.</w:t>
      </w:r>
    </w:p>
    <w:p w:rsidR="005077F3" w:rsidRDefault="005077F3" w:rsidP="005077F3">
      <w:pPr>
        <w:spacing w:before="0" w:after="0" w:line="240" w:lineRule="auto"/>
        <w:jc w:val="both"/>
        <w:rPr>
          <w:lang w:val="fr-FR"/>
        </w:rPr>
      </w:pPr>
    </w:p>
    <w:p w:rsidR="00086A2C" w:rsidRPr="00086A2C" w:rsidRDefault="00086A2C" w:rsidP="005077F3">
      <w:pPr>
        <w:spacing w:before="0" w:after="0" w:line="240" w:lineRule="auto"/>
        <w:jc w:val="both"/>
        <w:rPr>
          <w:lang w:val="fr-FR"/>
        </w:rPr>
      </w:pPr>
      <w:r w:rsidRPr="00086A2C">
        <w:rPr>
          <w:lang w:val="fr-FR"/>
        </w:rPr>
        <w:t>L'objectif de l'enquête est d'évaluer le niveau de mise en œuvre du modèle IWXXM par les États et d'identifier les actions appropriées qui doivent être prises pour aider les États à accélérer la mise en œuvre du modèle OACI pour l'échange de données météorologiques en format numérique.</w:t>
      </w:r>
    </w:p>
    <w:p w:rsidR="005077F3" w:rsidRDefault="005077F3" w:rsidP="005077F3">
      <w:pPr>
        <w:spacing w:before="0" w:after="0" w:line="240" w:lineRule="auto"/>
        <w:jc w:val="both"/>
        <w:rPr>
          <w:lang w:val="fr-FR"/>
        </w:rPr>
      </w:pPr>
    </w:p>
    <w:p w:rsidR="00E44D12" w:rsidRDefault="00E44D12" w:rsidP="005077F3">
      <w:pPr>
        <w:spacing w:before="0" w:after="0" w:line="240" w:lineRule="auto"/>
        <w:jc w:val="both"/>
        <w:rPr>
          <w:lang w:val="fr-FR"/>
        </w:rPr>
      </w:pPr>
      <w:r>
        <w:rPr>
          <w:lang w:val="fr-FR"/>
        </w:rPr>
        <w:t>Bien vouloir transmettre le formulaire renseigné à:</w:t>
      </w:r>
    </w:p>
    <w:bookmarkStart w:id="0" w:name="_GoBack"/>
    <w:bookmarkEnd w:id="0"/>
    <w:p w:rsidR="009370B7" w:rsidRPr="00AC17EE" w:rsidRDefault="005077F3" w:rsidP="005077F3">
      <w:pPr>
        <w:spacing w:before="0" w:after="0" w:line="240" w:lineRule="auto"/>
        <w:ind w:left="708"/>
        <w:jc w:val="both"/>
        <w:rPr>
          <w:rStyle w:val="Hyperlink"/>
          <w:rFonts w:cs="Times New Roman"/>
          <w:sz w:val="24"/>
          <w:szCs w:val="24"/>
          <w:lang w:val="en-GB"/>
        </w:rPr>
      </w:pPr>
      <w:r>
        <w:lastRenderedPageBreak/>
        <w:fldChar w:fldCharType="begin"/>
      </w:r>
      <w:r>
        <w:instrText xml:space="preserve"> HYPERLINK "mailto:icaoesaf@icao.int" </w:instrText>
      </w:r>
      <w:r>
        <w:fldChar w:fldCharType="separate"/>
      </w:r>
      <w:r w:rsidR="009370B7" w:rsidRPr="007275A5">
        <w:rPr>
          <w:rStyle w:val="Hyperlink"/>
          <w:rFonts w:cs="Times New Roman"/>
          <w:szCs w:val="24"/>
          <w:lang w:val="en-GB"/>
        </w:rPr>
        <w:t>icaoesaf@icao.int</w:t>
      </w:r>
      <w:r>
        <w:rPr>
          <w:rStyle w:val="Hyperlink"/>
          <w:rFonts w:cs="Times New Roman"/>
          <w:szCs w:val="24"/>
          <w:lang w:val="en-GB"/>
        </w:rPr>
        <w:fldChar w:fldCharType="end"/>
      </w:r>
      <w:r w:rsidR="009370B7">
        <w:rPr>
          <w:rStyle w:val="Hyperlink"/>
        </w:rPr>
        <w:t xml:space="preserve"> </w:t>
      </w:r>
      <w:r w:rsidR="009370B7" w:rsidRPr="00EF093D">
        <w:rPr>
          <w:rFonts w:cs="Times New Roman"/>
          <w:color w:val="000000"/>
          <w:szCs w:val="24"/>
          <w:lang w:val="en-GB"/>
        </w:rPr>
        <w:t xml:space="preserve"> </w:t>
      </w:r>
      <w:r w:rsidR="009370B7">
        <w:rPr>
          <w:rFonts w:cs="Times New Roman"/>
          <w:color w:val="000000"/>
          <w:szCs w:val="24"/>
          <w:lang w:val="en-GB"/>
        </w:rPr>
        <w:t xml:space="preserve">with copy to </w:t>
      </w:r>
      <w:hyperlink r:id="rId8" w:history="1">
        <w:r w:rsidR="009370B7" w:rsidRPr="00AC17EE">
          <w:rPr>
            <w:rStyle w:val="Hyperlink"/>
            <w:rFonts w:cs="Times New Roman"/>
            <w:sz w:val="24"/>
            <w:szCs w:val="24"/>
            <w:lang w:val="en-GB"/>
          </w:rPr>
          <w:t>cmazhetese@icao.int</w:t>
        </w:r>
      </w:hyperlink>
      <w:r w:rsidR="009370B7" w:rsidRPr="00AC17EE">
        <w:rPr>
          <w:rFonts w:cs="Times New Roman"/>
          <w:color w:val="000000"/>
          <w:sz w:val="24"/>
          <w:szCs w:val="24"/>
          <w:lang w:val="en-GB"/>
        </w:rPr>
        <w:t xml:space="preserve"> </w:t>
      </w:r>
      <w:r w:rsidR="009370B7">
        <w:rPr>
          <w:rFonts w:cs="Times New Roman"/>
          <w:color w:val="000000"/>
          <w:szCs w:val="24"/>
          <w:lang w:val="en-GB"/>
        </w:rPr>
        <w:t xml:space="preserve">and </w:t>
      </w:r>
      <w:hyperlink r:id="rId9" w:history="1">
        <w:r w:rsidR="009370B7" w:rsidRPr="007275A5">
          <w:rPr>
            <w:rStyle w:val="Hyperlink"/>
            <w:rFonts w:cs="Times New Roman"/>
            <w:szCs w:val="24"/>
            <w:lang w:val="en-GB"/>
          </w:rPr>
          <w:t>gilboudo@icao.int</w:t>
        </w:r>
      </w:hyperlink>
    </w:p>
    <w:p w:rsidR="00E44D12" w:rsidRPr="005077F3" w:rsidRDefault="00E44D12" w:rsidP="005077F3">
      <w:pPr>
        <w:spacing w:before="0" w:after="0" w:line="240" w:lineRule="auto"/>
        <w:jc w:val="both"/>
        <w:rPr>
          <w:b/>
          <w:lang w:val="en-GB"/>
        </w:rPr>
      </w:pPr>
    </w:p>
    <w:p w:rsidR="00086A2C" w:rsidRPr="00E44D12" w:rsidRDefault="00086A2C" w:rsidP="00E44D12">
      <w:pPr>
        <w:jc w:val="both"/>
        <w:rPr>
          <w:b/>
          <w:lang w:val="fr-FR"/>
        </w:rPr>
      </w:pPr>
      <w:r w:rsidRPr="00E44D12">
        <w:rPr>
          <w:b/>
          <w:lang w:val="fr-FR"/>
        </w:rPr>
        <w:t>Informations générales</w:t>
      </w:r>
    </w:p>
    <w:p w:rsidR="00086A2C" w:rsidRPr="00086A2C" w:rsidRDefault="005077F3" w:rsidP="009B0C47">
      <w:pPr>
        <w:ind w:left="720"/>
        <w:rPr>
          <w:lang w:val="fr-FR"/>
        </w:rPr>
      </w:pPr>
      <w:r>
        <w:rPr>
          <w:lang w:val="fr-FR"/>
        </w:rPr>
        <w:t>Date</w:t>
      </w:r>
      <w:r w:rsidR="00086A2C" w:rsidRPr="00086A2C">
        <w:rPr>
          <w:lang w:val="fr-FR"/>
        </w:rPr>
        <w:t>:</w:t>
      </w:r>
    </w:p>
    <w:p w:rsidR="00086A2C" w:rsidRPr="00086A2C" w:rsidRDefault="00086A2C" w:rsidP="009B0C47">
      <w:pPr>
        <w:ind w:left="720"/>
        <w:rPr>
          <w:lang w:val="fr-FR"/>
        </w:rPr>
      </w:pPr>
      <w:r w:rsidRPr="00086A2C">
        <w:rPr>
          <w:lang w:val="fr-FR"/>
        </w:rPr>
        <w:t>Pays</w:t>
      </w:r>
      <w:r w:rsidR="00E44D12">
        <w:rPr>
          <w:lang w:val="fr-FR"/>
        </w:rPr>
        <w:t xml:space="preserve"> /</w:t>
      </w:r>
      <w:r w:rsidR="005077F3">
        <w:rPr>
          <w:lang w:val="fr-FR"/>
        </w:rPr>
        <w:t>Etat</w:t>
      </w:r>
      <w:r w:rsidRPr="00086A2C">
        <w:rPr>
          <w:lang w:val="fr-FR"/>
        </w:rPr>
        <w:t xml:space="preserve">:  </w:t>
      </w:r>
    </w:p>
    <w:p w:rsidR="00086A2C" w:rsidRPr="00086A2C" w:rsidRDefault="005077F3" w:rsidP="009B0C47">
      <w:pPr>
        <w:ind w:left="720"/>
        <w:rPr>
          <w:lang w:val="fr-FR"/>
        </w:rPr>
      </w:pPr>
      <w:r>
        <w:rPr>
          <w:lang w:val="fr-FR"/>
        </w:rPr>
        <w:t>Nom du centre COM</w:t>
      </w:r>
      <w:r w:rsidR="00086A2C" w:rsidRPr="00086A2C">
        <w:rPr>
          <w:lang w:val="fr-FR"/>
        </w:rPr>
        <w:t xml:space="preserve">:  </w:t>
      </w:r>
    </w:p>
    <w:p w:rsidR="00086A2C" w:rsidRPr="00086A2C" w:rsidRDefault="00086A2C" w:rsidP="009B0C47">
      <w:pPr>
        <w:ind w:left="720"/>
        <w:rPr>
          <w:lang w:val="fr-FR"/>
        </w:rPr>
      </w:pPr>
      <w:r w:rsidRPr="00086A2C">
        <w:rPr>
          <w:lang w:val="fr-FR"/>
        </w:rPr>
        <w:t>Indicateur d</w:t>
      </w:r>
      <w:r w:rsidR="00E44D12">
        <w:rPr>
          <w:lang w:val="fr-FR"/>
        </w:rPr>
        <w:t xml:space="preserve">’emplacement </w:t>
      </w:r>
      <w:r w:rsidR="005077F3">
        <w:rPr>
          <w:lang w:val="fr-FR"/>
        </w:rPr>
        <w:t>du centre COM</w:t>
      </w:r>
      <w:r w:rsidRPr="00086A2C">
        <w:rPr>
          <w:lang w:val="fr-FR"/>
        </w:rPr>
        <w:t xml:space="preserve">: </w:t>
      </w:r>
    </w:p>
    <w:p w:rsidR="00086A2C" w:rsidRPr="00086A2C" w:rsidRDefault="00E44D12" w:rsidP="009B0C47">
      <w:pPr>
        <w:ind w:left="720"/>
        <w:rPr>
          <w:lang w:val="fr-FR"/>
        </w:rPr>
      </w:pPr>
      <w:r w:rsidRPr="00086A2C">
        <w:rPr>
          <w:lang w:val="fr-FR"/>
        </w:rPr>
        <w:t>Nom</w:t>
      </w:r>
      <w:r>
        <w:rPr>
          <w:lang w:val="fr-FR"/>
        </w:rPr>
        <w:t xml:space="preserve"> du Centre</w:t>
      </w:r>
      <w:r w:rsidRPr="00086A2C">
        <w:rPr>
          <w:lang w:val="fr-FR"/>
        </w:rPr>
        <w:t xml:space="preserve"> </w:t>
      </w:r>
      <w:r w:rsidR="00086A2C" w:rsidRPr="00086A2C">
        <w:rPr>
          <w:lang w:val="fr-FR"/>
        </w:rPr>
        <w:t xml:space="preserve">NOC/BCC:  </w:t>
      </w:r>
    </w:p>
    <w:p w:rsidR="00086A2C" w:rsidRPr="00086A2C" w:rsidRDefault="00086A2C" w:rsidP="009B0C47">
      <w:pPr>
        <w:ind w:left="720"/>
        <w:rPr>
          <w:lang w:val="fr-FR"/>
        </w:rPr>
      </w:pPr>
      <w:r w:rsidRPr="00086A2C">
        <w:rPr>
          <w:lang w:val="fr-FR"/>
        </w:rPr>
        <w:t>Indicateur d</w:t>
      </w:r>
      <w:r w:rsidR="00E44D12">
        <w:rPr>
          <w:lang w:val="fr-FR"/>
        </w:rPr>
        <w:t xml:space="preserve">’emplacement </w:t>
      </w:r>
      <w:r w:rsidRPr="00086A2C">
        <w:rPr>
          <w:lang w:val="fr-FR"/>
        </w:rPr>
        <w:t xml:space="preserve">du </w:t>
      </w:r>
      <w:r w:rsidR="00E44D12">
        <w:rPr>
          <w:lang w:val="fr-FR"/>
        </w:rPr>
        <w:t>NOC</w:t>
      </w:r>
      <w:r w:rsidRPr="00086A2C">
        <w:rPr>
          <w:lang w:val="fr-FR"/>
        </w:rPr>
        <w:t>/</w:t>
      </w:r>
      <w:r w:rsidR="00E44D12">
        <w:rPr>
          <w:lang w:val="fr-FR"/>
        </w:rPr>
        <w:t>BCC</w:t>
      </w:r>
      <w:r w:rsidRPr="00086A2C">
        <w:rPr>
          <w:lang w:val="fr-FR"/>
        </w:rPr>
        <w:t xml:space="preserve">: </w:t>
      </w:r>
    </w:p>
    <w:p w:rsidR="00086A2C" w:rsidRPr="00086A2C" w:rsidRDefault="00086A2C" w:rsidP="009B0C47">
      <w:pPr>
        <w:ind w:left="720"/>
        <w:rPr>
          <w:lang w:val="fr-FR"/>
        </w:rPr>
      </w:pPr>
      <w:r w:rsidRPr="00086A2C">
        <w:rPr>
          <w:lang w:val="fr-FR"/>
        </w:rPr>
        <w:t xml:space="preserve">Coordonnées de la personne </w:t>
      </w:r>
      <w:r w:rsidR="005077F3">
        <w:rPr>
          <w:lang w:val="fr-FR"/>
        </w:rPr>
        <w:t>renseignant le formulaire</w:t>
      </w:r>
      <w:r w:rsidR="00E44D12">
        <w:rPr>
          <w:lang w:val="fr-FR"/>
        </w:rPr>
        <w:t>:</w:t>
      </w:r>
      <w:r w:rsidRPr="00086A2C">
        <w:rPr>
          <w:lang w:val="fr-FR"/>
        </w:rPr>
        <w:t xml:space="preserve"> </w:t>
      </w:r>
    </w:p>
    <w:p w:rsidR="00086A2C" w:rsidRPr="009B0C47" w:rsidRDefault="005077F3" w:rsidP="009B0C47">
      <w:pPr>
        <w:pStyle w:val="ListParagraph"/>
        <w:numPr>
          <w:ilvl w:val="0"/>
          <w:numId w:val="3"/>
        </w:numPr>
        <w:spacing w:line="276" w:lineRule="auto"/>
        <w:ind w:left="1077" w:hanging="357"/>
        <w:contextualSpacing w:val="0"/>
        <w:rPr>
          <w:lang w:val="fr-FR"/>
        </w:rPr>
      </w:pPr>
      <w:r>
        <w:rPr>
          <w:lang w:val="fr-FR"/>
        </w:rPr>
        <w:t>Nom</w:t>
      </w:r>
      <w:r w:rsidR="00086A2C" w:rsidRPr="009B0C47">
        <w:rPr>
          <w:lang w:val="fr-FR"/>
        </w:rPr>
        <w:t>:</w:t>
      </w:r>
    </w:p>
    <w:p w:rsidR="00086A2C" w:rsidRPr="009B0C47" w:rsidRDefault="009B0C47" w:rsidP="009B0C47">
      <w:pPr>
        <w:pStyle w:val="ListParagraph"/>
        <w:numPr>
          <w:ilvl w:val="0"/>
          <w:numId w:val="3"/>
        </w:numPr>
        <w:spacing w:line="276" w:lineRule="auto"/>
        <w:ind w:left="1077" w:hanging="357"/>
        <w:contextualSpacing w:val="0"/>
        <w:rPr>
          <w:lang w:val="fr-FR"/>
        </w:rPr>
      </w:pPr>
      <w:r w:rsidRPr="009B0C47">
        <w:rPr>
          <w:lang w:val="fr-FR"/>
        </w:rPr>
        <w:t>E-mail</w:t>
      </w:r>
      <w:r w:rsidR="00086A2C" w:rsidRPr="009B0C47">
        <w:rPr>
          <w:lang w:val="fr-FR"/>
        </w:rPr>
        <w:t>:</w:t>
      </w:r>
    </w:p>
    <w:p w:rsidR="00086A2C" w:rsidRPr="009B0C47" w:rsidRDefault="005077F3" w:rsidP="009B0C47">
      <w:pPr>
        <w:pStyle w:val="ListParagraph"/>
        <w:numPr>
          <w:ilvl w:val="0"/>
          <w:numId w:val="3"/>
        </w:numPr>
        <w:spacing w:line="276" w:lineRule="auto"/>
        <w:ind w:left="1077" w:hanging="357"/>
        <w:contextualSpacing w:val="0"/>
        <w:rPr>
          <w:lang w:val="fr-FR"/>
        </w:rPr>
      </w:pPr>
      <w:r>
        <w:rPr>
          <w:lang w:val="fr-FR"/>
        </w:rPr>
        <w:t>Numéro de téléphone</w:t>
      </w:r>
      <w:r w:rsidR="00086A2C" w:rsidRPr="009B0C47">
        <w:rPr>
          <w:lang w:val="fr-FR"/>
        </w:rPr>
        <w:t>:</w:t>
      </w:r>
    </w:p>
    <w:p w:rsidR="00086A2C" w:rsidRDefault="00086A2C" w:rsidP="00086A2C">
      <w:pPr>
        <w:rPr>
          <w:lang w:val="fr-FR"/>
        </w:rPr>
      </w:pPr>
    </w:p>
    <w:p w:rsidR="00086A2C" w:rsidRDefault="00086A2C" w:rsidP="00086A2C">
      <w:pPr>
        <w:rPr>
          <w:lang w:val="fr-FR"/>
        </w:rPr>
      </w:pPr>
    </w:p>
    <w:p w:rsidR="00086A2C" w:rsidRDefault="00086A2C" w:rsidP="00086A2C">
      <w:pPr>
        <w:rPr>
          <w:lang w:val="fr-FR"/>
        </w:rPr>
      </w:pPr>
    </w:p>
    <w:p w:rsidR="00086A2C" w:rsidRDefault="00086A2C" w:rsidP="00086A2C">
      <w:pPr>
        <w:rPr>
          <w:lang w:val="fr-FR"/>
        </w:rPr>
      </w:pPr>
    </w:p>
    <w:p w:rsidR="00086A2C" w:rsidRDefault="00086A2C" w:rsidP="00086A2C">
      <w:pPr>
        <w:rPr>
          <w:lang w:val="fr-FR"/>
        </w:rPr>
      </w:pPr>
    </w:p>
    <w:p w:rsidR="00086A2C" w:rsidRDefault="00086A2C" w:rsidP="00086A2C">
      <w:pPr>
        <w:rPr>
          <w:lang w:val="fr-FR"/>
        </w:rPr>
      </w:pPr>
    </w:p>
    <w:p w:rsidR="00086A2C" w:rsidRDefault="00086A2C" w:rsidP="00086A2C">
      <w:pPr>
        <w:rPr>
          <w:lang w:val="fr-FR"/>
        </w:rPr>
      </w:pPr>
    </w:p>
    <w:p w:rsidR="00086A2C" w:rsidRDefault="00086A2C" w:rsidP="00086A2C">
      <w:pPr>
        <w:rPr>
          <w:lang w:val="fr-FR"/>
        </w:rPr>
        <w:sectPr w:rsidR="00086A2C" w:rsidSect="005077F3">
          <w:headerReference w:type="default" r:id="rId10"/>
          <w:pgSz w:w="12240" w:h="15840"/>
          <w:pgMar w:top="1134" w:right="1134" w:bottom="1134" w:left="1134" w:header="708" w:footer="708" w:gutter="0"/>
          <w:cols w:space="708"/>
          <w:docGrid w:linePitch="360"/>
        </w:sectPr>
      </w:pPr>
    </w:p>
    <w:tbl>
      <w:tblPr>
        <w:tblStyle w:val="TableGrid"/>
        <w:tblW w:w="13651" w:type="dxa"/>
        <w:tblLook w:val="04A0" w:firstRow="1" w:lastRow="0" w:firstColumn="1" w:lastColumn="0" w:noHBand="0" w:noVBand="1"/>
      </w:tblPr>
      <w:tblGrid>
        <w:gridCol w:w="2598"/>
        <w:gridCol w:w="2599"/>
        <w:gridCol w:w="2599"/>
        <w:gridCol w:w="3256"/>
        <w:gridCol w:w="2599"/>
      </w:tblGrid>
      <w:tr w:rsidR="00086A2C" w:rsidRPr="00086A2C" w:rsidTr="00B93C61">
        <w:tc>
          <w:tcPr>
            <w:tcW w:w="2598" w:type="dxa"/>
          </w:tcPr>
          <w:p w:rsidR="00086A2C" w:rsidRPr="00086A2C" w:rsidRDefault="00085EC8" w:rsidP="00085EC8">
            <w:pPr>
              <w:rPr>
                <w:rFonts w:cs="Times New Roman"/>
                <w:lang w:val="fr-FR"/>
              </w:rPr>
            </w:pPr>
            <w:r>
              <w:rPr>
                <w:rFonts w:cs="Times New Roman"/>
                <w:lang w:val="fr-FR"/>
              </w:rPr>
              <w:lastRenderedPageBreak/>
              <w:t xml:space="preserve">Lignes directrices </w:t>
            </w:r>
            <w:r w:rsidR="00CD22D6">
              <w:rPr>
                <w:rFonts w:cs="Times New Roman"/>
                <w:lang w:val="fr-FR"/>
              </w:rPr>
              <w:t>OACI</w:t>
            </w:r>
            <w:r>
              <w:rPr>
                <w:rFonts w:cs="Times New Roman"/>
                <w:lang w:val="fr-FR"/>
              </w:rPr>
              <w:t xml:space="preserve"> relatives à l’IWXXM, Ed 2020</w:t>
            </w:r>
          </w:p>
        </w:tc>
        <w:tc>
          <w:tcPr>
            <w:tcW w:w="2599" w:type="dxa"/>
          </w:tcPr>
          <w:p w:rsidR="00086A2C" w:rsidRPr="00086A2C" w:rsidRDefault="00CD22D6" w:rsidP="00086A2C">
            <w:pPr>
              <w:rPr>
                <w:rFonts w:cs="Times New Roman"/>
                <w:lang w:val="fr-FR"/>
              </w:rPr>
            </w:pPr>
            <w:r>
              <w:rPr>
                <w:rFonts w:cs="Times New Roman"/>
                <w:lang w:val="fr-FR"/>
              </w:rPr>
              <w:t>Numéro et titre de la question</w:t>
            </w:r>
          </w:p>
        </w:tc>
        <w:tc>
          <w:tcPr>
            <w:tcW w:w="2599" w:type="dxa"/>
          </w:tcPr>
          <w:p w:rsidR="00086A2C" w:rsidRPr="00086A2C" w:rsidRDefault="00CD22D6" w:rsidP="00086A2C">
            <w:pPr>
              <w:rPr>
                <w:rFonts w:cs="Times New Roman"/>
                <w:lang w:val="fr-FR"/>
              </w:rPr>
            </w:pPr>
            <w:r>
              <w:rPr>
                <w:rFonts w:cs="Times New Roman"/>
                <w:lang w:val="fr-FR"/>
              </w:rPr>
              <w:t>Texte de la question</w:t>
            </w:r>
          </w:p>
        </w:tc>
        <w:tc>
          <w:tcPr>
            <w:tcW w:w="3256" w:type="dxa"/>
          </w:tcPr>
          <w:p w:rsidR="00086A2C" w:rsidRPr="00086A2C" w:rsidRDefault="00CD22D6" w:rsidP="00086A2C">
            <w:pPr>
              <w:rPr>
                <w:rFonts w:cs="Times New Roman"/>
                <w:lang w:val="fr-FR"/>
              </w:rPr>
            </w:pPr>
            <w:r>
              <w:rPr>
                <w:rFonts w:cs="Times New Roman"/>
                <w:lang w:val="fr-FR"/>
              </w:rPr>
              <w:t>Réponse à la question</w:t>
            </w:r>
          </w:p>
        </w:tc>
        <w:tc>
          <w:tcPr>
            <w:tcW w:w="2599" w:type="dxa"/>
          </w:tcPr>
          <w:p w:rsidR="00086A2C" w:rsidRPr="00086A2C" w:rsidRDefault="00CD22D6" w:rsidP="00086A2C">
            <w:pPr>
              <w:rPr>
                <w:rFonts w:cs="Times New Roman"/>
                <w:lang w:val="fr-FR"/>
              </w:rPr>
            </w:pPr>
            <w:r>
              <w:rPr>
                <w:rFonts w:cs="Times New Roman"/>
                <w:lang w:val="fr-FR"/>
              </w:rPr>
              <w:t>Veuillez justifier votre réponse</w:t>
            </w:r>
          </w:p>
        </w:tc>
      </w:tr>
      <w:tr w:rsidR="00910268" w:rsidRPr="005077F3" w:rsidTr="00B93C61">
        <w:tc>
          <w:tcPr>
            <w:tcW w:w="2598" w:type="dxa"/>
            <w:vMerge w:val="restart"/>
          </w:tcPr>
          <w:p w:rsidR="00910268" w:rsidRPr="00086A2C" w:rsidRDefault="00910268" w:rsidP="00086A2C">
            <w:pPr>
              <w:rPr>
                <w:rFonts w:cs="Times New Roman"/>
                <w:lang w:val="fr-FR"/>
              </w:rPr>
            </w:pPr>
            <w:r>
              <w:rPr>
                <w:rFonts w:cs="Times New Roman"/>
                <w:lang w:val="fr-FR"/>
              </w:rPr>
              <w:t>Directive OACI IWXXM :§2.1</w:t>
            </w:r>
          </w:p>
        </w:tc>
        <w:tc>
          <w:tcPr>
            <w:tcW w:w="2599" w:type="dxa"/>
            <w:vMerge w:val="restart"/>
          </w:tcPr>
          <w:p w:rsidR="00910268" w:rsidRPr="00086A2C" w:rsidRDefault="00085EC8" w:rsidP="00086A2C">
            <w:pPr>
              <w:rPr>
                <w:rFonts w:cs="Times New Roman"/>
                <w:lang w:val="fr-FR"/>
              </w:rPr>
            </w:pPr>
            <w:r>
              <w:rPr>
                <w:rFonts w:cs="Times New Roman"/>
                <w:lang w:val="fr-FR"/>
              </w:rPr>
              <w:t>1</w:t>
            </w:r>
            <w:r w:rsidR="00910268">
              <w:rPr>
                <w:rFonts w:cs="Times New Roman"/>
                <w:lang w:val="fr-FR"/>
              </w:rPr>
              <w:t xml:space="preserve"> – Module de transfert de fichiers (FTBP)</w:t>
            </w:r>
          </w:p>
        </w:tc>
        <w:tc>
          <w:tcPr>
            <w:tcW w:w="2599" w:type="dxa"/>
            <w:vMerge w:val="restart"/>
          </w:tcPr>
          <w:p w:rsidR="00910268" w:rsidRPr="00086A2C" w:rsidRDefault="00910268" w:rsidP="00086A2C">
            <w:pPr>
              <w:rPr>
                <w:rFonts w:cs="Times New Roman"/>
                <w:lang w:val="fr-FR"/>
              </w:rPr>
            </w:pPr>
            <w:r>
              <w:rPr>
                <w:rFonts w:cs="Times New Roman"/>
                <w:lang w:val="fr-FR"/>
              </w:rPr>
              <w:t>Votre Centre COM SFA, a-t-il mis en œuvre ou prévoit-il de mettre en œuvre, un sous-ensemble des services étendus de traitement des Messages des Services de la Circulation Aérienne (ATSMHS) comprenant la ‘’Partie du Corps de Transfert de Fichiers’’ (FTBP) qui est requise pour l’échange des données IWXXM ?</w:t>
            </w:r>
          </w:p>
        </w:tc>
        <w:tc>
          <w:tcPr>
            <w:tcW w:w="3256" w:type="dxa"/>
          </w:tcPr>
          <w:p w:rsidR="00910268" w:rsidRPr="00086A2C" w:rsidRDefault="00910268" w:rsidP="00924C67">
            <w:pPr>
              <w:rPr>
                <w:rFonts w:cs="Times New Roman"/>
                <w:lang w:val="fr-FR"/>
              </w:rPr>
            </w:pPr>
            <w:r>
              <w:rPr>
                <w:rFonts w:cs="Times New Roman"/>
                <w:lang w:val="fr-FR"/>
              </w:rPr>
              <w:t>Non, pas de support ‘’Partie du Corps de Transfert de Fichiers’’ (FTBP) mis en œuvre ou planifié.</w:t>
            </w:r>
          </w:p>
        </w:tc>
        <w:tc>
          <w:tcPr>
            <w:tcW w:w="2599" w:type="dxa"/>
          </w:tcPr>
          <w:p w:rsidR="00910268" w:rsidRPr="00086A2C" w:rsidRDefault="00910268" w:rsidP="00086A2C">
            <w:pPr>
              <w:rPr>
                <w:rFonts w:cs="Times New Roman"/>
                <w:lang w:val="fr-FR"/>
              </w:rPr>
            </w:pPr>
          </w:p>
        </w:tc>
      </w:tr>
      <w:tr w:rsidR="00910268" w:rsidRPr="005077F3" w:rsidTr="00B93C61">
        <w:tc>
          <w:tcPr>
            <w:tcW w:w="2598"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3256" w:type="dxa"/>
          </w:tcPr>
          <w:p w:rsidR="00910268" w:rsidRDefault="00910268" w:rsidP="00086A2C">
            <w:pPr>
              <w:rPr>
                <w:rFonts w:cs="Times New Roman"/>
                <w:lang w:val="fr-FR"/>
              </w:rPr>
            </w:pPr>
            <w:r>
              <w:rPr>
                <w:rFonts w:cs="Times New Roman"/>
                <w:lang w:val="fr-FR"/>
              </w:rPr>
              <w:t>Oui, le support ‘’Partie du Corps de Transfert de Fichiers’’ (FTBP) a été mis en œuvre et est opérationnel.</w:t>
            </w:r>
          </w:p>
          <w:p w:rsidR="00910268" w:rsidRPr="004177EC" w:rsidRDefault="00910268" w:rsidP="00086A2C">
            <w:pPr>
              <w:rPr>
                <w:rFonts w:cs="Times New Roman"/>
                <w:i/>
                <w:lang w:val="fr-FR"/>
              </w:rPr>
            </w:pPr>
            <w:r w:rsidRPr="004177EC">
              <w:rPr>
                <w:rFonts w:cs="Times New Roman"/>
                <w:i/>
                <w:lang w:val="fr-FR"/>
              </w:rPr>
              <w:t>(Indiquer la date de mise en œuvre et la taille maximale du FTBP)</w:t>
            </w:r>
          </w:p>
        </w:tc>
        <w:tc>
          <w:tcPr>
            <w:tcW w:w="2599" w:type="dxa"/>
          </w:tcPr>
          <w:p w:rsidR="00910268" w:rsidRPr="00086A2C" w:rsidRDefault="00910268" w:rsidP="00086A2C">
            <w:pPr>
              <w:rPr>
                <w:rFonts w:cs="Times New Roman"/>
                <w:lang w:val="fr-FR"/>
              </w:rPr>
            </w:pPr>
          </w:p>
        </w:tc>
      </w:tr>
      <w:tr w:rsidR="00910268" w:rsidRPr="005077F3" w:rsidTr="00B93C61">
        <w:tc>
          <w:tcPr>
            <w:tcW w:w="2598"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3256" w:type="dxa"/>
          </w:tcPr>
          <w:p w:rsidR="00910268" w:rsidRDefault="00910268" w:rsidP="00086A2C">
            <w:pPr>
              <w:rPr>
                <w:rFonts w:cs="Times New Roman"/>
                <w:lang w:val="fr-FR"/>
              </w:rPr>
            </w:pPr>
            <w:r>
              <w:rPr>
                <w:rFonts w:cs="Times New Roman"/>
                <w:lang w:val="fr-FR"/>
              </w:rPr>
              <w:t xml:space="preserve">Oui, le support ‘’Partie du Corps de Transfert de Fichiers’’ (FTBP) a été mis en œuvre et il est prévu qu’il soit opérationnel d’ici le : </w:t>
            </w:r>
          </w:p>
          <w:p w:rsidR="00910268" w:rsidRPr="004177EC" w:rsidRDefault="00910268" w:rsidP="00086A2C">
            <w:pPr>
              <w:rPr>
                <w:rFonts w:cs="Times New Roman"/>
                <w:i/>
                <w:lang w:val="fr-FR"/>
              </w:rPr>
            </w:pPr>
            <w:r w:rsidRPr="004177EC">
              <w:rPr>
                <w:rFonts w:cs="Times New Roman"/>
                <w:i/>
                <w:lang w:val="fr-FR"/>
              </w:rPr>
              <w:t>(Indiquer la date et la taille maximale du FTBP)</w:t>
            </w:r>
          </w:p>
        </w:tc>
        <w:tc>
          <w:tcPr>
            <w:tcW w:w="2599" w:type="dxa"/>
          </w:tcPr>
          <w:p w:rsidR="00910268" w:rsidRPr="00086A2C" w:rsidRDefault="00910268" w:rsidP="00086A2C">
            <w:pPr>
              <w:rPr>
                <w:rFonts w:cs="Times New Roman"/>
                <w:lang w:val="fr-FR"/>
              </w:rPr>
            </w:pPr>
          </w:p>
        </w:tc>
      </w:tr>
      <w:tr w:rsidR="00166FDA" w:rsidRPr="005077F3" w:rsidTr="00B93C61">
        <w:tc>
          <w:tcPr>
            <w:tcW w:w="2598" w:type="dxa"/>
            <w:vMerge w:val="restart"/>
          </w:tcPr>
          <w:p w:rsidR="00166FDA" w:rsidRDefault="00166FDA" w:rsidP="00086A2C">
            <w:pPr>
              <w:rPr>
                <w:rFonts w:cs="Times New Roman"/>
                <w:lang w:val="fr-FR"/>
              </w:rPr>
            </w:pPr>
            <w:r>
              <w:rPr>
                <w:rFonts w:cs="Times New Roman"/>
                <w:lang w:val="fr-FR"/>
              </w:rPr>
              <w:t>Directive OACI IWXXM :§2.1</w:t>
            </w:r>
          </w:p>
        </w:tc>
        <w:tc>
          <w:tcPr>
            <w:tcW w:w="2599" w:type="dxa"/>
            <w:vMerge w:val="restart"/>
          </w:tcPr>
          <w:p w:rsidR="00166FDA" w:rsidRDefault="00166FDA" w:rsidP="00085EC8">
            <w:pPr>
              <w:rPr>
                <w:rFonts w:cs="Times New Roman"/>
                <w:lang w:val="fr-FR"/>
              </w:rPr>
            </w:pPr>
            <w:r>
              <w:rPr>
                <w:rFonts w:cs="Times New Roman"/>
                <w:lang w:val="fr-FR"/>
              </w:rPr>
              <w:t>2 – Pour les Etats BCC uniquement</w:t>
            </w:r>
          </w:p>
        </w:tc>
        <w:tc>
          <w:tcPr>
            <w:tcW w:w="2599" w:type="dxa"/>
            <w:vMerge w:val="restart"/>
          </w:tcPr>
          <w:p w:rsidR="00166FDA" w:rsidRDefault="00166FDA" w:rsidP="003F0B19">
            <w:pPr>
              <w:rPr>
                <w:rFonts w:cs="Times New Roman"/>
                <w:lang w:val="fr-FR"/>
              </w:rPr>
            </w:pPr>
            <w:r>
              <w:rPr>
                <w:rFonts w:cs="Times New Roman"/>
                <w:lang w:val="fr-FR"/>
              </w:rPr>
              <w:t xml:space="preserve">En tant qu’Etat BCC, avez-vous l’intention d’établir une connexion ATSMHS pourvu du module FTBP entre votre Centre COM SFA et le Centre COM SFA de </w:t>
            </w:r>
            <w:r w:rsidR="003F0B19">
              <w:rPr>
                <w:rFonts w:cs="Times New Roman"/>
                <w:lang w:val="fr-FR"/>
              </w:rPr>
              <w:t>v</w:t>
            </w:r>
            <w:r>
              <w:rPr>
                <w:rFonts w:cs="Times New Roman"/>
                <w:lang w:val="fr-FR"/>
              </w:rPr>
              <w:t>otre Centre Régional OPMET associé (ROC LFPW) ?</w:t>
            </w:r>
          </w:p>
        </w:tc>
        <w:tc>
          <w:tcPr>
            <w:tcW w:w="3256" w:type="dxa"/>
          </w:tcPr>
          <w:p w:rsidR="00166FDA" w:rsidRDefault="00166FDA" w:rsidP="00086A2C">
            <w:pPr>
              <w:rPr>
                <w:rFonts w:cs="Times New Roman"/>
                <w:lang w:val="fr-FR"/>
              </w:rPr>
            </w:pPr>
            <w:r>
              <w:rPr>
                <w:rFonts w:cs="Times New Roman"/>
                <w:lang w:val="fr-FR"/>
              </w:rPr>
              <w:t>Oui, la connexion est déjà mise en place</w:t>
            </w:r>
          </w:p>
        </w:tc>
        <w:tc>
          <w:tcPr>
            <w:tcW w:w="2599" w:type="dxa"/>
          </w:tcPr>
          <w:p w:rsidR="00166FDA" w:rsidRPr="00086A2C" w:rsidRDefault="00166FDA" w:rsidP="00086A2C">
            <w:pPr>
              <w:rPr>
                <w:rFonts w:cs="Times New Roman"/>
                <w:lang w:val="fr-FR"/>
              </w:rPr>
            </w:pPr>
          </w:p>
        </w:tc>
      </w:tr>
      <w:tr w:rsidR="00166FDA" w:rsidRPr="005077F3" w:rsidTr="00B93C61">
        <w:tc>
          <w:tcPr>
            <w:tcW w:w="2598" w:type="dxa"/>
            <w:vMerge/>
          </w:tcPr>
          <w:p w:rsidR="00166FDA" w:rsidRPr="00086A2C" w:rsidRDefault="00166FDA" w:rsidP="00086A2C">
            <w:pPr>
              <w:rPr>
                <w:rFonts w:cs="Times New Roman"/>
                <w:lang w:val="fr-FR"/>
              </w:rPr>
            </w:pPr>
          </w:p>
        </w:tc>
        <w:tc>
          <w:tcPr>
            <w:tcW w:w="2599" w:type="dxa"/>
            <w:vMerge/>
          </w:tcPr>
          <w:p w:rsidR="00166FDA" w:rsidRPr="00086A2C" w:rsidRDefault="00166FDA" w:rsidP="00085EC8">
            <w:pPr>
              <w:rPr>
                <w:rFonts w:cs="Times New Roman"/>
                <w:lang w:val="fr-FR"/>
              </w:rPr>
            </w:pPr>
          </w:p>
        </w:tc>
        <w:tc>
          <w:tcPr>
            <w:tcW w:w="2599" w:type="dxa"/>
            <w:vMerge/>
          </w:tcPr>
          <w:p w:rsidR="00166FDA" w:rsidRPr="00086A2C" w:rsidRDefault="00166FDA" w:rsidP="00086A2C">
            <w:pPr>
              <w:rPr>
                <w:rFonts w:cs="Times New Roman"/>
                <w:lang w:val="fr-FR"/>
              </w:rPr>
            </w:pPr>
          </w:p>
        </w:tc>
        <w:tc>
          <w:tcPr>
            <w:tcW w:w="3256" w:type="dxa"/>
          </w:tcPr>
          <w:p w:rsidR="00166FDA" w:rsidRPr="00086A2C" w:rsidRDefault="00166FDA" w:rsidP="00086A2C">
            <w:pPr>
              <w:rPr>
                <w:rFonts w:cs="Times New Roman"/>
                <w:lang w:val="fr-FR"/>
              </w:rPr>
            </w:pPr>
            <w:r>
              <w:rPr>
                <w:rFonts w:cs="Times New Roman"/>
                <w:lang w:val="fr-FR"/>
              </w:rPr>
              <w:t>Oui, mais aucune coordination n’a commencé</w:t>
            </w:r>
          </w:p>
        </w:tc>
        <w:tc>
          <w:tcPr>
            <w:tcW w:w="2599" w:type="dxa"/>
          </w:tcPr>
          <w:p w:rsidR="00166FDA" w:rsidRPr="00086A2C" w:rsidRDefault="00166FDA" w:rsidP="00086A2C">
            <w:pPr>
              <w:rPr>
                <w:rFonts w:cs="Times New Roman"/>
                <w:lang w:val="fr-FR"/>
              </w:rPr>
            </w:pPr>
          </w:p>
        </w:tc>
      </w:tr>
      <w:tr w:rsidR="00166FDA" w:rsidRPr="00B11F4F" w:rsidTr="00B93C61">
        <w:tc>
          <w:tcPr>
            <w:tcW w:w="2598" w:type="dxa"/>
            <w:vMerge/>
          </w:tcPr>
          <w:p w:rsidR="00166FDA" w:rsidRPr="00086A2C" w:rsidRDefault="00166FDA" w:rsidP="00086A2C">
            <w:pPr>
              <w:rPr>
                <w:rFonts w:cs="Times New Roman"/>
                <w:lang w:val="fr-FR"/>
              </w:rPr>
            </w:pPr>
          </w:p>
        </w:tc>
        <w:tc>
          <w:tcPr>
            <w:tcW w:w="2599" w:type="dxa"/>
            <w:vMerge/>
          </w:tcPr>
          <w:p w:rsidR="00166FDA" w:rsidRPr="00086A2C" w:rsidRDefault="00166FDA" w:rsidP="00086A2C">
            <w:pPr>
              <w:rPr>
                <w:rFonts w:cs="Times New Roman"/>
                <w:lang w:val="fr-FR"/>
              </w:rPr>
            </w:pPr>
          </w:p>
        </w:tc>
        <w:tc>
          <w:tcPr>
            <w:tcW w:w="2599" w:type="dxa"/>
            <w:vMerge/>
          </w:tcPr>
          <w:p w:rsidR="00166FDA" w:rsidRPr="00086A2C" w:rsidRDefault="00166FDA" w:rsidP="00086A2C">
            <w:pPr>
              <w:rPr>
                <w:rFonts w:cs="Times New Roman"/>
                <w:lang w:val="fr-FR"/>
              </w:rPr>
            </w:pPr>
          </w:p>
        </w:tc>
        <w:tc>
          <w:tcPr>
            <w:tcW w:w="3256" w:type="dxa"/>
          </w:tcPr>
          <w:p w:rsidR="00166FDA" w:rsidRDefault="00166FDA" w:rsidP="00166FDA">
            <w:pPr>
              <w:rPr>
                <w:rFonts w:cs="Times New Roman"/>
                <w:lang w:val="fr-FR"/>
              </w:rPr>
            </w:pPr>
            <w:r>
              <w:rPr>
                <w:rFonts w:cs="Times New Roman"/>
                <w:lang w:val="fr-FR"/>
              </w:rPr>
              <w:t>Oui, la coordination a déjà commencé et le raccordement devrait être opérationnel d’ici le :</w:t>
            </w:r>
          </w:p>
          <w:p w:rsidR="00166FDA" w:rsidRPr="00086A2C" w:rsidRDefault="00166FDA" w:rsidP="00347F93">
            <w:pPr>
              <w:rPr>
                <w:rFonts w:cs="Times New Roman"/>
                <w:lang w:val="fr-FR"/>
              </w:rPr>
            </w:pPr>
            <w:r w:rsidRPr="00347F93">
              <w:rPr>
                <w:rFonts w:cs="Times New Roman"/>
                <w:i/>
                <w:lang w:val="fr-FR"/>
              </w:rPr>
              <w:t>(Indiquer la date prévue)</w:t>
            </w:r>
          </w:p>
        </w:tc>
        <w:tc>
          <w:tcPr>
            <w:tcW w:w="2599" w:type="dxa"/>
          </w:tcPr>
          <w:p w:rsidR="00166FDA" w:rsidRPr="00086A2C" w:rsidRDefault="00166FDA" w:rsidP="00086A2C">
            <w:pPr>
              <w:rPr>
                <w:rFonts w:cs="Times New Roman"/>
                <w:lang w:val="fr-FR"/>
              </w:rPr>
            </w:pPr>
          </w:p>
        </w:tc>
      </w:tr>
      <w:tr w:rsidR="00166FDA" w:rsidRPr="00166FDA" w:rsidTr="00B93C61">
        <w:tc>
          <w:tcPr>
            <w:tcW w:w="2598" w:type="dxa"/>
            <w:vMerge/>
          </w:tcPr>
          <w:p w:rsidR="00166FDA" w:rsidRPr="00086A2C" w:rsidRDefault="00166FDA" w:rsidP="00086A2C">
            <w:pPr>
              <w:rPr>
                <w:rFonts w:cs="Times New Roman"/>
                <w:lang w:val="fr-FR"/>
              </w:rPr>
            </w:pPr>
          </w:p>
        </w:tc>
        <w:tc>
          <w:tcPr>
            <w:tcW w:w="2599" w:type="dxa"/>
            <w:vMerge/>
          </w:tcPr>
          <w:p w:rsidR="00166FDA" w:rsidRPr="00086A2C" w:rsidRDefault="00166FDA" w:rsidP="00086A2C">
            <w:pPr>
              <w:rPr>
                <w:rFonts w:cs="Times New Roman"/>
                <w:lang w:val="fr-FR"/>
              </w:rPr>
            </w:pPr>
          </w:p>
        </w:tc>
        <w:tc>
          <w:tcPr>
            <w:tcW w:w="2599" w:type="dxa"/>
            <w:vMerge/>
          </w:tcPr>
          <w:p w:rsidR="00166FDA" w:rsidRPr="00086A2C" w:rsidRDefault="00166FDA" w:rsidP="00086A2C">
            <w:pPr>
              <w:rPr>
                <w:rFonts w:cs="Times New Roman"/>
                <w:lang w:val="fr-FR"/>
              </w:rPr>
            </w:pPr>
          </w:p>
        </w:tc>
        <w:tc>
          <w:tcPr>
            <w:tcW w:w="3256" w:type="dxa"/>
          </w:tcPr>
          <w:p w:rsidR="00166FDA" w:rsidRPr="00347F93" w:rsidRDefault="00166FDA" w:rsidP="00166FDA">
            <w:pPr>
              <w:rPr>
                <w:rFonts w:cs="Times New Roman"/>
                <w:i/>
                <w:lang w:val="fr-FR"/>
              </w:rPr>
            </w:pPr>
            <w:r>
              <w:rPr>
                <w:rFonts w:cs="Times New Roman"/>
                <w:lang w:val="fr-FR"/>
              </w:rPr>
              <w:t xml:space="preserve">Non, </w:t>
            </w:r>
            <w:r w:rsidRPr="00166FDA">
              <w:rPr>
                <w:rFonts w:cs="Times New Roman"/>
                <w:i/>
                <w:lang w:val="fr-FR"/>
              </w:rPr>
              <w:t>(Indiquer les raisons)</w:t>
            </w:r>
            <w:r w:rsidRPr="00347F93">
              <w:rPr>
                <w:rFonts w:cs="Times New Roman"/>
                <w:i/>
                <w:lang w:val="fr-FR"/>
              </w:rPr>
              <w:t xml:space="preserve"> </w:t>
            </w:r>
          </w:p>
        </w:tc>
        <w:tc>
          <w:tcPr>
            <w:tcW w:w="2599" w:type="dxa"/>
          </w:tcPr>
          <w:p w:rsidR="00166FDA" w:rsidRPr="00086A2C" w:rsidRDefault="00166FDA" w:rsidP="00086A2C">
            <w:pPr>
              <w:rPr>
                <w:rFonts w:cs="Times New Roman"/>
                <w:lang w:val="fr-FR"/>
              </w:rPr>
            </w:pPr>
          </w:p>
        </w:tc>
      </w:tr>
      <w:tr w:rsidR="00EE2F05" w:rsidRPr="005077F3" w:rsidTr="00B93C61">
        <w:tc>
          <w:tcPr>
            <w:tcW w:w="2598" w:type="dxa"/>
            <w:vMerge w:val="restart"/>
          </w:tcPr>
          <w:p w:rsidR="00EE2F05" w:rsidRPr="00086A2C" w:rsidRDefault="00EE2F05" w:rsidP="00347F93">
            <w:pPr>
              <w:rPr>
                <w:rFonts w:cs="Times New Roman"/>
                <w:lang w:val="fr-FR"/>
              </w:rPr>
            </w:pPr>
            <w:r>
              <w:rPr>
                <w:rFonts w:cs="Times New Roman"/>
                <w:lang w:val="fr-FR"/>
              </w:rPr>
              <w:t>Directive OACI IWXXM :§3.1.1</w:t>
            </w:r>
          </w:p>
        </w:tc>
        <w:tc>
          <w:tcPr>
            <w:tcW w:w="2599" w:type="dxa"/>
            <w:vMerge w:val="restart"/>
          </w:tcPr>
          <w:p w:rsidR="00EE2F05" w:rsidRPr="00086A2C" w:rsidRDefault="00085EC8" w:rsidP="00085EC8">
            <w:pPr>
              <w:rPr>
                <w:rFonts w:cs="Times New Roman"/>
                <w:lang w:val="fr-FR"/>
              </w:rPr>
            </w:pPr>
            <w:r>
              <w:rPr>
                <w:rFonts w:cs="Times New Roman"/>
                <w:lang w:val="fr-FR"/>
              </w:rPr>
              <w:t>3</w:t>
            </w:r>
            <w:r w:rsidR="00EE2F05">
              <w:rPr>
                <w:rFonts w:cs="Times New Roman"/>
                <w:lang w:val="fr-FR"/>
              </w:rPr>
              <w:t xml:space="preserve"> – Pour les Etats BCC uniquement</w:t>
            </w:r>
          </w:p>
        </w:tc>
        <w:tc>
          <w:tcPr>
            <w:tcW w:w="2599" w:type="dxa"/>
            <w:vMerge w:val="restart"/>
          </w:tcPr>
          <w:p w:rsidR="00EE2F05" w:rsidRPr="00086A2C" w:rsidRDefault="00EE2F05" w:rsidP="00086A2C">
            <w:pPr>
              <w:rPr>
                <w:rFonts w:cs="Times New Roman"/>
                <w:lang w:val="fr-FR"/>
              </w:rPr>
            </w:pPr>
            <w:r>
              <w:rPr>
                <w:rFonts w:cs="Times New Roman"/>
                <w:lang w:val="fr-FR"/>
              </w:rPr>
              <w:t>Dans le cas où la connexion est déjà en place (conformément à 2/9 a), votre BCC a-y-il effectué des test avec leurs NOCs correspondants pour l’échange des données OPMET via le SFA en utilisant l’AMHS muni du la fonctionnalité FTBP et du profil AMHS pour es données IWXXM ?</w:t>
            </w:r>
          </w:p>
        </w:tc>
        <w:tc>
          <w:tcPr>
            <w:tcW w:w="3256" w:type="dxa"/>
          </w:tcPr>
          <w:p w:rsidR="00EE2F05" w:rsidRDefault="00EE2F05" w:rsidP="00086A2C">
            <w:pPr>
              <w:rPr>
                <w:rFonts w:cs="Times New Roman"/>
                <w:lang w:val="fr-FR"/>
              </w:rPr>
            </w:pPr>
            <w:r>
              <w:rPr>
                <w:rFonts w:cs="Times New Roman"/>
                <w:lang w:val="fr-FR"/>
              </w:rPr>
              <w:t>Oui, des tests ont déjà été effectués.</w:t>
            </w:r>
          </w:p>
          <w:p w:rsidR="00EE2F05" w:rsidRPr="00347F93" w:rsidRDefault="00EE2F05" w:rsidP="00086A2C">
            <w:pPr>
              <w:rPr>
                <w:rFonts w:cs="Times New Roman"/>
                <w:i/>
                <w:lang w:val="fr-FR"/>
              </w:rPr>
            </w:pPr>
            <w:r w:rsidRPr="00347F93">
              <w:rPr>
                <w:rFonts w:cs="Times New Roman"/>
                <w:i/>
                <w:lang w:val="fr-FR"/>
              </w:rPr>
              <w:t>(Indiquer la date et les résultats obtenus)</w:t>
            </w:r>
          </w:p>
        </w:tc>
        <w:tc>
          <w:tcPr>
            <w:tcW w:w="2599" w:type="dxa"/>
          </w:tcPr>
          <w:p w:rsidR="00EE2F05" w:rsidRPr="00086A2C" w:rsidRDefault="00EE2F05" w:rsidP="00086A2C">
            <w:pPr>
              <w:rPr>
                <w:rFonts w:cs="Times New Roman"/>
                <w:lang w:val="fr-FR"/>
              </w:rPr>
            </w:pPr>
          </w:p>
        </w:tc>
      </w:tr>
      <w:tr w:rsidR="00EE2F05" w:rsidRPr="005077F3" w:rsidTr="00B93C61">
        <w:tc>
          <w:tcPr>
            <w:tcW w:w="2598"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3256" w:type="dxa"/>
          </w:tcPr>
          <w:p w:rsidR="00EE2F05" w:rsidRPr="00086A2C" w:rsidRDefault="00EE2F05" w:rsidP="00086A2C">
            <w:pPr>
              <w:rPr>
                <w:rFonts w:cs="Times New Roman"/>
                <w:lang w:val="fr-FR"/>
              </w:rPr>
            </w:pPr>
            <w:r>
              <w:rPr>
                <w:rFonts w:cs="Times New Roman"/>
                <w:lang w:val="fr-FR"/>
              </w:rPr>
              <w:t>Non, des tests ont été planifiés, mais pas encore réalisés</w:t>
            </w:r>
            <w:r w:rsidRPr="00EE2F05">
              <w:rPr>
                <w:rFonts w:cs="Times New Roman"/>
                <w:i/>
                <w:lang w:val="fr-FR"/>
              </w:rPr>
              <w:t>. (Veuillez indiquer les raisons pour lesquelles vous n’avez pas encore réaliser les tests)</w:t>
            </w:r>
          </w:p>
        </w:tc>
        <w:tc>
          <w:tcPr>
            <w:tcW w:w="2599" w:type="dxa"/>
          </w:tcPr>
          <w:p w:rsidR="00EE2F05" w:rsidRPr="00086A2C" w:rsidRDefault="00EE2F05" w:rsidP="00086A2C">
            <w:pPr>
              <w:rPr>
                <w:rFonts w:cs="Times New Roman"/>
                <w:lang w:val="fr-FR"/>
              </w:rPr>
            </w:pPr>
          </w:p>
        </w:tc>
      </w:tr>
      <w:tr w:rsidR="00EE2F05" w:rsidRPr="00086A2C" w:rsidTr="00B93C61">
        <w:tc>
          <w:tcPr>
            <w:tcW w:w="2598"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3256" w:type="dxa"/>
          </w:tcPr>
          <w:p w:rsidR="00EE2F05" w:rsidRDefault="00EE2F05" w:rsidP="00086A2C">
            <w:pPr>
              <w:rPr>
                <w:rFonts w:cs="Times New Roman"/>
                <w:lang w:val="fr-FR"/>
              </w:rPr>
            </w:pPr>
            <w:r>
              <w:rPr>
                <w:rFonts w:cs="Times New Roman"/>
                <w:lang w:val="fr-FR"/>
              </w:rPr>
              <w:t>Non, les tests n’ont pas été réalisés et ne sont pas prévus.</w:t>
            </w:r>
          </w:p>
          <w:p w:rsidR="00EE2F05" w:rsidRPr="00EE2F05" w:rsidRDefault="00EE2F05" w:rsidP="00EE2F05">
            <w:pPr>
              <w:rPr>
                <w:rFonts w:cs="Times New Roman"/>
                <w:i/>
                <w:lang w:val="fr-FR"/>
              </w:rPr>
            </w:pPr>
            <w:r w:rsidRPr="00EE2F05">
              <w:rPr>
                <w:rFonts w:cs="Times New Roman"/>
                <w:i/>
                <w:lang w:val="fr-FR"/>
              </w:rPr>
              <w:t>(Veuillez indiquer les raisons)</w:t>
            </w:r>
          </w:p>
        </w:tc>
        <w:tc>
          <w:tcPr>
            <w:tcW w:w="2599" w:type="dxa"/>
          </w:tcPr>
          <w:p w:rsidR="00EE2F05" w:rsidRPr="00086A2C" w:rsidRDefault="00EE2F05" w:rsidP="00086A2C">
            <w:pPr>
              <w:rPr>
                <w:rFonts w:cs="Times New Roman"/>
                <w:lang w:val="fr-FR"/>
              </w:rPr>
            </w:pPr>
          </w:p>
        </w:tc>
      </w:tr>
      <w:tr w:rsidR="00EE2F05" w:rsidRPr="00086A2C" w:rsidTr="00B93C61">
        <w:tc>
          <w:tcPr>
            <w:tcW w:w="2598" w:type="dxa"/>
            <w:vMerge w:val="restart"/>
          </w:tcPr>
          <w:p w:rsidR="00EE2F05" w:rsidRPr="00086A2C" w:rsidRDefault="00EE2F05" w:rsidP="00EE2F05">
            <w:pPr>
              <w:rPr>
                <w:rFonts w:cs="Times New Roman"/>
                <w:lang w:val="fr-FR"/>
              </w:rPr>
            </w:pPr>
            <w:r>
              <w:rPr>
                <w:rFonts w:cs="Times New Roman"/>
                <w:lang w:val="fr-FR"/>
              </w:rPr>
              <w:t>Directive OACI IWXXM :§6.1.3</w:t>
            </w:r>
          </w:p>
        </w:tc>
        <w:tc>
          <w:tcPr>
            <w:tcW w:w="2599" w:type="dxa"/>
            <w:vMerge w:val="restart"/>
          </w:tcPr>
          <w:p w:rsidR="00EE2F05" w:rsidRPr="00086A2C" w:rsidRDefault="00085EC8" w:rsidP="00085EC8">
            <w:pPr>
              <w:rPr>
                <w:rFonts w:cs="Times New Roman"/>
                <w:lang w:val="fr-FR"/>
              </w:rPr>
            </w:pPr>
            <w:r>
              <w:rPr>
                <w:rFonts w:cs="Times New Roman"/>
                <w:lang w:val="fr-FR"/>
              </w:rPr>
              <w:t>4</w:t>
            </w:r>
            <w:r w:rsidR="00EE2F05">
              <w:rPr>
                <w:rFonts w:cs="Times New Roman"/>
                <w:lang w:val="fr-FR"/>
              </w:rPr>
              <w:t xml:space="preserve"> – Traduction du TAC au format IWXXM</w:t>
            </w:r>
          </w:p>
        </w:tc>
        <w:tc>
          <w:tcPr>
            <w:tcW w:w="2599" w:type="dxa"/>
            <w:vMerge w:val="restart"/>
          </w:tcPr>
          <w:p w:rsidR="00EE2F05" w:rsidRPr="00086A2C" w:rsidRDefault="00EE2F05" w:rsidP="00086A2C">
            <w:pPr>
              <w:rPr>
                <w:rFonts w:cs="Times New Roman"/>
                <w:lang w:val="fr-FR"/>
              </w:rPr>
            </w:pPr>
            <w:r>
              <w:rPr>
                <w:rFonts w:cs="Times New Roman"/>
                <w:lang w:val="fr-FR"/>
              </w:rPr>
              <w:t>Votre BCC a-t-il la capacité d’agir en tant que Centre de traduction des données OPMET au format TAC au format IWXXM et vice versa ?</w:t>
            </w:r>
          </w:p>
        </w:tc>
        <w:tc>
          <w:tcPr>
            <w:tcW w:w="3256" w:type="dxa"/>
          </w:tcPr>
          <w:p w:rsidR="00EE2F05" w:rsidRPr="00086A2C" w:rsidRDefault="00EE2F05" w:rsidP="00086A2C">
            <w:pPr>
              <w:rPr>
                <w:rFonts w:cs="Times New Roman"/>
                <w:lang w:val="fr-FR"/>
              </w:rPr>
            </w:pPr>
            <w:r>
              <w:rPr>
                <w:rFonts w:cs="Times New Roman"/>
                <w:lang w:val="fr-FR"/>
              </w:rPr>
              <w:t>Oui.</w:t>
            </w:r>
          </w:p>
        </w:tc>
        <w:tc>
          <w:tcPr>
            <w:tcW w:w="2599" w:type="dxa"/>
          </w:tcPr>
          <w:p w:rsidR="00EE2F05" w:rsidRPr="00086A2C" w:rsidRDefault="00EE2F05" w:rsidP="00086A2C">
            <w:pPr>
              <w:rPr>
                <w:rFonts w:cs="Times New Roman"/>
                <w:lang w:val="fr-FR"/>
              </w:rPr>
            </w:pPr>
          </w:p>
        </w:tc>
      </w:tr>
      <w:tr w:rsidR="00EE2F05" w:rsidRPr="005077F3" w:rsidTr="00B93C61">
        <w:tc>
          <w:tcPr>
            <w:tcW w:w="2598"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3256" w:type="dxa"/>
          </w:tcPr>
          <w:p w:rsidR="00EE2F05" w:rsidRDefault="00EE2F05" w:rsidP="00086A2C">
            <w:pPr>
              <w:rPr>
                <w:rFonts w:cs="Times New Roman"/>
                <w:lang w:val="fr-FR"/>
              </w:rPr>
            </w:pPr>
            <w:r>
              <w:rPr>
                <w:rFonts w:cs="Times New Roman"/>
                <w:lang w:val="fr-FR"/>
              </w:rPr>
              <w:t>Non, le BCC reçoit les données IWXXM d’un Centre de traduction externe.</w:t>
            </w:r>
          </w:p>
          <w:p w:rsidR="00EE2F05" w:rsidRPr="00EE2F05" w:rsidRDefault="00EE2F05" w:rsidP="00086A2C">
            <w:pPr>
              <w:rPr>
                <w:rFonts w:cs="Times New Roman"/>
                <w:i/>
                <w:lang w:val="fr-FR"/>
              </w:rPr>
            </w:pPr>
            <w:r w:rsidRPr="00EE2F05">
              <w:rPr>
                <w:rFonts w:cs="Times New Roman"/>
                <w:i/>
                <w:lang w:val="fr-FR"/>
              </w:rPr>
              <w:t>(Indiquer ce Centre de traduction externe)</w:t>
            </w:r>
          </w:p>
        </w:tc>
        <w:tc>
          <w:tcPr>
            <w:tcW w:w="2599" w:type="dxa"/>
          </w:tcPr>
          <w:p w:rsidR="00EE2F05" w:rsidRPr="00086A2C" w:rsidRDefault="00EE2F05" w:rsidP="00086A2C">
            <w:pPr>
              <w:rPr>
                <w:rFonts w:cs="Times New Roman"/>
                <w:lang w:val="fr-FR"/>
              </w:rPr>
            </w:pPr>
          </w:p>
        </w:tc>
      </w:tr>
      <w:tr w:rsidR="00EE2F05" w:rsidRPr="005077F3" w:rsidTr="00B93C61">
        <w:tc>
          <w:tcPr>
            <w:tcW w:w="2598"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2599" w:type="dxa"/>
            <w:vMerge/>
          </w:tcPr>
          <w:p w:rsidR="00EE2F05" w:rsidRPr="00086A2C" w:rsidRDefault="00EE2F05" w:rsidP="00086A2C">
            <w:pPr>
              <w:rPr>
                <w:rFonts w:cs="Times New Roman"/>
                <w:lang w:val="fr-FR"/>
              </w:rPr>
            </w:pPr>
          </w:p>
        </w:tc>
        <w:tc>
          <w:tcPr>
            <w:tcW w:w="3256" w:type="dxa"/>
          </w:tcPr>
          <w:p w:rsidR="00EE2F05" w:rsidRPr="00086A2C" w:rsidRDefault="00EE2F05" w:rsidP="00086A2C">
            <w:pPr>
              <w:rPr>
                <w:rFonts w:cs="Times New Roman"/>
                <w:lang w:val="fr-FR"/>
              </w:rPr>
            </w:pPr>
            <w:r>
              <w:rPr>
                <w:rFonts w:cs="Times New Roman"/>
                <w:lang w:val="fr-FR"/>
              </w:rPr>
              <w:t>Non, le BCC n’a pas la capacité de traiter les données au format IWXXM</w:t>
            </w:r>
          </w:p>
        </w:tc>
        <w:tc>
          <w:tcPr>
            <w:tcW w:w="2599" w:type="dxa"/>
          </w:tcPr>
          <w:p w:rsidR="00EE2F05" w:rsidRPr="00086A2C" w:rsidRDefault="00EE2F05" w:rsidP="00086A2C">
            <w:pPr>
              <w:rPr>
                <w:rFonts w:cs="Times New Roman"/>
                <w:lang w:val="fr-FR"/>
              </w:rPr>
            </w:pPr>
          </w:p>
        </w:tc>
      </w:tr>
      <w:tr w:rsidR="00BF73E2" w:rsidRPr="00086A2C" w:rsidTr="00B93C61">
        <w:tc>
          <w:tcPr>
            <w:tcW w:w="2598" w:type="dxa"/>
            <w:vMerge w:val="restart"/>
          </w:tcPr>
          <w:p w:rsidR="00BF73E2" w:rsidRPr="00086A2C" w:rsidRDefault="00BF73E2" w:rsidP="00E17A7A">
            <w:pPr>
              <w:rPr>
                <w:rFonts w:cs="Times New Roman"/>
                <w:lang w:val="fr-FR"/>
              </w:rPr>
            </w:pPr>
            <w:r>
              <w:rPr>
                <w:rFonts w:cs="Times New Roman"/>
                <w:lang w:val="fr-FR"/>
              </w:rPr>
              <w:t>Directive OACI IWXXM :§5.3.7</w:t>
            </w:r>
          </w:p>
        </w:tc>
        <w:tc>
          <w:tcPr>
            <w:tcW w:w="2599" w:type="dxa"/>
            <w:vMerge w:val="restart"/>
          </w:tcPr>
          <w:p w:rsidR="00BF73E2" w:rsidRPr="00086A2C" w:rsidRDefault="00085EC8" w:rsidP="00085EC8">
            <w:pPr>
              <w:rPr>
                <w:rFonts w:cs="Times New Roman"/>
                <w:lang w:val="fr-FR"/>
              </w:rPr>
            </w:pPr>
            <w:r>
              <w:rPr>
                <w:rFonts w:cs="Times New Roman"/>
                <w:lang w:val="fr-FR"/>
              </w:rPr>
              <w:t>5</w:t>
            </w:r>
            <w:r w:rsidR="00BF73E2">
              <w:rPr>
                <w:rFonts w:cs="Times New Roman"/>
                <w:lang w:val="fr-FR"/>
              </w:rPr>
              <w:t xml:space="preserve"> – Accord de traduction</w:t>
            </w:r>
          </w:p>
        </w:tc>
        <w:tc>
          <w:tcPr>
            <w:tcW w:w="2599" w:type="dxa"/>
            <w:vMerge w:val="restart"/>
          </w:tcPr>
          <w:p w:rsidR="00BF73E2" w:rsidRPr="00086A2C" w:rsidRDefault="00BF73E2" w:rsidP="00086A2C">
            <w:pPr>
              <w:rPr>
                <w:rFonts w:cs="Times New Roman"/>
                <w:lang w:val="fr-FR"/>
              </w:rPr>
            </w:pPr>
            <w:r>
              <w:rPr>
                <w:rFonts w:cs="Times New Roman"/>
                <w:lang w:val="fr-FR"/>
              </w:rPr>
              <w:t>Existe – t – il un accord de traduction entre votre BCC (agissant en tant que Centre de traduction) et l’Etat demandeur / le NOC ?</w:t>
            </w:r>
          </w:p>
        </w:tc>
        <w:tc>
          <w:tcPr>
            <w:tcW w:w="3256" w:type="dxa"/>
          </w:tcPr>
          <w:p w:rsidR="00BF73E2" w:rsidRPr="00086A2C" w:rsidRDefault="00BF73E2" w:rsidP="00086A2C">
            <w:pPr>
              <w:rPr>
                <w:rFonts w:cs="Times New Roman"/>
                <w:lang w:val="fr-FR"/>
              </w:rPr>
            </w:pPr>
            <w:r>
              <w:rPr>
                <w:rFonts w:cs="Times New Roman"/>
                <w:lang w:val="fr-FR"/>
              </w:rPr>
              <w:t xml:space="preserve">Oui </w:t>
            </w:r>
          </w:p>
        </w:tc>
        <w:tc>
          <w:tcPr>
            <w:tcW w:w="2599" w:type="dxa"/>
          </w:tcPr>
          <w:p w:rsidR="00BF73E2" w:rsidRPr="00086A2C" w:rsidRDefault="00BF73E2" w:rsidP="00086A2C">
            <w:pPr>
              <w:rPr>
                <w:rFonts w:cs="Times New Roman"/>
                <w:lang w:val="fr-FR"/>
              </w:rPr>
            </w:pPr>
          </w:p>
        </w:tc>
      </w:tr>
      <w:tr w:rsidR="00BF73E2" w:rsidRPr="00086A2C" w:rsidTr="00B93C61">
        <w:tc>
          <w:tcPr>
            <w:tcW w:w="2598" w:type="dxa"/>
            <w:vMerge/>
          </w:tcPr>
          <w:p w:rsidR="00BF73E2" w:rsidRPr="00086A2C" w:rsidRDefault="00BF73E2" w:rsidP="00086A2C">
            <w:pPr>
              <w:rPr>
                <w:rFonts w:cs="Times New Roman"/>
                <w:lang w:val="fr-FR"/>
              </w:rPr>
            </w:pPr>
          </w:p>
        </w:tc>
        <w:tc>
          <w:tcPr>
            <w:tcW w:w="2599" w:type="dxa"/>
            <w:vMerge/>
          </w:tcPr>
          <w:p w:rsidR="00BF73E2" w:rsidRPr="00086A2C" w:rsidRDefault="00BF73E2" w:rsidP="00086A2C">
            <w:pPr>
              <w:rPr>
                <w:rFonts w:cs="Times New Roman"/>
                <w:lang w:val="fr-FR"/>
              </w:rPr>
            </w:pPr>
          </w:p>
        </w:tc>
        <w:tc>
          <w:tcPr>
            <w:tcW w:w="2599" w:type="dxa"/>
            <w:vMerge/>
          </w:tcPr>
          <w:p w:rsidR="00BF73E2" w:rsidRPr="00086A2C" w:rsidRDefault="00BF73E2" w:rsidP="00086A2C">
            <w:pPr>
              <w:rPr>
                <w:rFonts w:cs="Times New Roman"/>
                <w:lang w:val="fr-FR"/>
              </w:rPr>
            </w:pPr>
          </w:p>
        </w:tc>
        <w:tc>
          <w:tcPr>
            <w:tcW w:w="3256" w:type="dxa"/>
          </w:tcPr>
          <w:p w:rsidR="00BF73E2" w:rsidRPr="00086A2C" w:rsidRDefault="00BF73E2" w:rsidP="00086A2C">
            <w:pPr>
              <w:rPr>
                <w:rFonts w:cs="Times New Roman"/>
                <w:lang w:val="fr-FR"/>
              </w:rPr>
            </w:pPr>
            <w:r>
              <w:rPr>
                <w:rFonts w:cs="Times New Roman"/>
                <w:lang w:val="fr-FR"/>
              </w:rPr>
              <w:t xml:space="preserve">Non </w:t>
            </w:r>
          </w:p>
        </w:tc>
        <w:tc>
          <w:tcPr>
            <w:tcW w:w="2599" w:type="dxa"/>
          </w:tcPr>
          <w:p w:rsidR="00BF73E2" w:rsidRPr="00086A2C" w:rsidRDefault="00BF73E2" w:rsidP="00086A2C">
            <w:pPr>
              <w:rPr>
                <w:rFonts w:cs="Times New Roman"/>
                <w:lang w:val="fr-FR"/>
              </w:rPr>
            </w:pPr>
          </w:p>
        </w:tc>
      </w:tr>
      <w:tr w:rsidR="00E2424B" w:rsidRPr="005077F3" w:rsidTr="00B93C61">
        <w:tc>
          <w:tcPr>
            <w:tcW w:w="2598" w:type="dxa"/>
            <w:vMerge w:val="restart"/>
          </w:tcPr>
          <w:p w:rsidR="00E2424B" w:rsidRPr="00086A2C" w:rsidRDefault="00E2424B" w:rsidP="00086A2C">
            <w:pPr>
              <w:rPr>
                <w:rFonts w:cs="Times New Roman"/>
                <w:lang w:val="fr-FR"/>
              </w:rPr>
            </w:pPr>
            <w:r>
              <w:rPr>
                <w:rFonts w:cs="Times New Roman"/>
                <w:lang w:val="fr-FR"/>
              </w:rPr>
              <w:t>Directive OACI IWXXM :§5.3.7</w:t>
            </w:r>
          </w:p>
        </w:tc>
        <w:tc>
          <w:tcPr>
            <w:tcW w:w="2599" w:type="dxa"/>
            <w:vMerge w:val="restart"/>
          </w:tcPr>
          <w:p w:rsidR="00E2424B" w:rsidRPr="00086A2C" w:rsidRDefault="00085EC8" w:rsidP="00085EC8">
            <w:pPr>
              <w:rPr>
                <w:rFonts w:cs="Times New Roman"/>
                <w:lang w:val="fr-FR"/>
              </w:rPr>
            </w:pPr>
            <w:r>
              <w:rPr>
                <w:rFonts w:cs="Times New Roman"/>
                <w:lang w:val="fr-FR"/>
              </w:rPr>
              <w:t>6</w:t>
            </w:r>
            <w:r w:rsidR="00E2424B">
              <w:rPr>
                <w:rFonts w:cs="Times New Roman"/>
                <w:lang w:val="fr-FR"/>
              </w:rPr>
              <w:t xml:space="preserve"> Accord de traduction</w:t>
            </w:r>
          </w:p>
        </w:tc>
        <w:tc>
          <w:tcPr>
            <w:tcW w:w="2599" w:type="dxa"/>
            <w:vMerge w:val="restart"/>
          </w:tcPr>
          <w:p w:rsidR="00E2424B" w:rsidRPr="00086A2C" w:rsidRDefault="00E2424B" w:rsidP="00086A2C">
            <w:pPr>
              <w:rPr>
                <w:rFonts w:cs="Times New Roman"/>
                <w:lang w:val="fr-FR"/>
              </w:rPr>
            </w:pPr>
            <w:r>
              <w:rPr>
                <w:rFonts w:cs="Times New Roman"/>
                <w:lang w:val="fr-FR"/>
              </w:rPr>
              <w:t>Si l’accord de traduction est établi et mis en œuvre, avez-vous transmis cet accord au bureau régional de l’OACI correspondant ?</w:t>
            </w:r>
          </w:p>
        </w:tc>
        <w:tc>
          <w:tcPr>
            <w:tcW w:w="3256" w:type="dxa"/>
          </w:tcPr>
          <w:p w:rsidR="00E2424B" w:rsidRPr="00086A2C" w:rsidRDefault="00E2424B" w:rsidP="00086A2C">
            <w:pPr>
              <w:rPr>
                <w:rFonts w:cs="Times New Roman"/>
                <w:lang w:val="fr-FR"/>
              </w:rPr>
            </w:pPr>
            <w:r>
              <w:rPr>
                <w:rFonts w:cs="Times New Roman"/>
                <w:lang w:val="fr-FR"/>
              </w:rPr>
              <w:t xml:space="preserve">Oui, </w:t>
            </w:r>
            <w:r w:rsidRPr="00E2424B">
              <w:rPr>
                <w:rFonts w:cs="Times New Roman"/>
                <w:i/>
                <w:lang w:val="fr-FR"/>
              </w:rPr>
              <w:t>(Veuillez indiquer la date)</w:t>
            </w:r>
          </w:p>
        </w:tc>
        <w:tc>
          <w:tcPr>
            <w:tcW w:w="2599" w:type="dxa"/>
          </w:tcPr>
          <w:p w:rsidR="00E2424B" w:rsidRPr="00086A2C" w:rsidRDefault="00E2424B" w:rsidP="00086A2C">
            <w:pPr>
              <w:rPr>
                <w:rFonts w:cs="Times New Roman"/>
                <w:lang w:val="fr-FR"/>
              </w:rPr>
            </w:pPr>
          </w:p>
        </w:tc>
      </w:tr>
      <w:tr w:rsidR="00E2424B" w:rsidRPr="005077F3" w:rsidTr="00B93C61">
        <w:tc>
          <w:tcPr>
            <w:tcW w:w="2598" w:type="dxa"/>
            <w:vMerge/>
          </w:tcPr>
          <w:p w:rsidR="00E2424B" w:rsidRPr="00086A2C" w:rsidRDefault="00E2424B" w:rsidP="00086A2C">
            <w:pPr>
              <w:rPr>
                <w:rFonts w:cs="Times New Roman"/>
                <w:lang w:val="fr-FR"/>
              </w:rPr>
            </w:pPr>
          </w:p>
        </w:tc>
        <w:tc>
          <w:tcPr>
            <w:tcW w:w="2599" w:type="dxa"/>
            <w:vMerge/>
          </w:tcPr>
          <w:p w:rsidR="00E2424B" w:rsidRPr="00086A2C" w:rsidRDefault="00E2424B" w:rsidP="00086A2C">
            <w:pPr>
              <w:rPr>
                <w:rFonts w:cs="Times New Roman"/>
                <w:lang w:val="fr-FR"/>
              </w:rPr>
            </w:pPr>
          </w:p>
        </w:tc>
        <w:tc>
          <w:tcPr>
            <w:tcW w:w="2599" w:type="dxa"/>
            <w:vMerge/>
          </w:tcPr>
          <w:p w:rsidR="00E2424B" w:rsidRPr="00086A2C" w:rsidRDefault="00E2424B" w:rsidP="00086A2C">
            <w:pPr>
              <w:rPr>
                <w:rFonts w:cs="Times New Roman"/>
                <w:lang w:val="fr-FR"/>
              </w:rPr>
            </w:pPr>
          </w:p>
        </w:tc>
        <w:tc>
          <w:tcPr>
            <w:tcW w:w="3256" w:type="dxa"/>
          </w:tcPr>
          <w:p w:rsidR="00E2424B" w:rsidRPr="00086A2C" w:rsidRDefault="00E2424B" w:rsidP="00086A2C">
            <w:pPr>
              <w:rPr>
                <w:rFonts w:cs="Times New Roman"/>
                <w:lang w:val="fr-FR"/>
              </w:rPr>
            </w:pPr>
            <w:r>
              <w:rPr>
                <w:rFonts w:cs="Times New Roman"/>
                <w:lang w:val="fr-FR"/>
              </w:rPr>
              <w:t xml:space="preserve">Non, </w:t>
            </w:r>
            <w:r w:rsidRPr="00E2424B">
              <w:rPr>
                <w:rFonts w:cs="Times New Roman"/>
                <w:i/>
                <w:lang w:val="fr-FR"/>
              </w:rPr>
              <w:t>(Veuillez donner la raison)</w:t>
            </w:r>
          </w:p>
        </w:tc>
        <w:tc>
          <w:tcPr>
            <w:tcW w:w="2599" w:type="dxa"/>
          </w:tcPr>
          <w:p w:rsidR="00E2424B" w:rsidRPr="00086A2C" w:rsidRDefault="00E2424B" w:rsidP="00086A2C">
            <w:pPr>
              <w:rPr>
                <w:rFonts w:cs="Times New Roman"/>
                <w:lang w:val="fr-FR"/>
              </w:rPr>
            </w:pPr>
          </w:p>
        </w:tc>
      </w:tr>
      <w:tr w:rsidR="00910268" w:rsidRPr="005077F3" w:rsidTr="00B93C61">
        <w:tc>
          <w:tcPr>
            <w:tcW w:w="2598" w:type="dxa"/>
            <w:vMerge w:val="restart"/>
          </w:tcPr>
          <w:p w:rsidR="00910268" w:rsidRPr="00086A2C" w:rsidRDefault="00910268" w:rsidP="00E2424B">
            <w:pPr>
              <w:rPr>
                <w:rFonts w:cs="Times New Roman"/>
                <w:lang w:val="fr-FR"/>
              </w:rPr>
            </w:pPr>
            <w:r>
              <w:rPr>
                <w:rFonts w:cs="Times New Roman"/>
                <w:lang w:val="fr-FR"/>
              </w:rPr>
              <w:t>Directive OACI IWXXM :§6.1.3</w:t>
            </w:r>
          </w:p>
        </w:tc>
        <w:tc>
          <w:tcPr>
            <w:tcW w:w="2599" w:type="dxa"/>
            <w:vMerge w:val="restart"/>
          </w:tcPr>
          <w:p w:rsidR="00910268" w:rsidRPr="00086A2C" w:rsidRDefault="00085EC8" w:rsidP="00085EC8">
            <w:pPr>
              <w:rPr>
                <w:rFonts w:cs="Times New Roman"/>
                <w:lang w:val="fr-FR"/>
              </w:rPr>
            </w:pPr>
            <w:r>
              <w:rPr>
                <w:rFonts w:cs="Times New Roman"/>
                <w:lang w:val="fr-FR"/>
              </w:rPr>
              <w:t>7</w:t>
            </w:r>
            <w:r w:rsidR="00166FDA">
              <w:rPr>
                <w:rFonts w:cs="Times New Roman"/>
                <w:lang w:val="fr-FR"/>
              </w:rPr>
              <w:t xml:space="preserve"> -</w:t>
            </w:r>
            <w:r w:rsidR="00910268">
              <w:rPr>
                <w:rFonts w:cs="Times New Roman"/>
                <w:lang w:val="fr-FR"/>
              </w:rPr>
              <w:t xml:space="preserve"> Tests IWXXM entre le BCC et leur IROG correspodant.</w:t>
            </w:r>
          </w:p>
        </w:tc>
        <w:tc>
          <w:tcPr>
            <w:tcW w:w="2599" w:type="dxa"/>
            <w:vMerge w:val="restart"/>
          </w:tcPr>
          <w:p w:rsidR="00910268" w:rsidRPr="00086A2C" w:rsidRDefault="00910268" w:rsidP="00086A2C">
            <w:pPr>
              <w:rPr>
                <w:rFonts w:cs="Times New Roman"/>
                <w:lang w:val="fr-FR"/>
              </w:rPr>
            </w:pPr>
            <w:r>
              <w:rPr>
                <w:rFonts w:cs="Times New Roman"/>
                <w:lang w:val="fr-FR"/>
              </w:rPr>
              <w:t>Des tests opérationnels ont-ils été effectués entre votre BCC et le ROC correspondant ayant mis en place la connexion SFA utilisant l’ALHS avec la fonctionnalité FTBP ?</w:t>
            </w:r>
          </w:p>
        </w:tc>
        <w:tc>
          <w:tcPr>
            <w:tcW w:w="3256" w:type="dxa"/>
          </w:tcPr>
          <w:p w:rsidR="00910268" w:rsidRPr="00086A2C" w:rsidRDefault="00910268" w:rsidP="00086A2C">
            <w:pPr>
              <w:rPr>
                <w:rFonts w:cs="Times New Roman"/>
                <w:lang w:val="fr-FR"/>
              </w:rPr>
            </w:pPr>
            <w:r>
              <w:rPr>
                <w:rFonts w:cs="Times New Roman"/>
                <w:lang w:val="fr-FR"/>
              </w:rPr>
              <w:t xml:space="preserve">Oui, des tests ont été effectués </w:t>
            </w:r>
            <w:r w:rsidRPr="00B11F4F">
              <w:rPr>
                <w:rFonts w:cs="Times New Roman"/>
                <w:i/>
                <w:lang w:val="fr-FR"/>
              </w:rPr>
              <w:t>(veuillez indiquer la date)</w:t>
            </w:r>
          </w:p>
        </w:tc>
        <w:tc>
          <w:tcPr>
            <w:tcW w:w="2599" w:type="dxa"/>
          </w:tcPr>
          <w:p w:rsidR="00910268" w:rsidRPr="00086A2C" w:rsidRDefault="00910268" w:rsidP="00086A2C">
            <w:pPr>
              <w:rPr>
                <w:rFonts w:cs="Times New Roman"/>
                <w:lang w:val="fr-FR"/>
              </w:rPr>
            </w:pPr>
          </w:p>
        </w:tc>
      </w:tr>
      <w:tr w:rsidR="00910268" w:rsidRPr="005077F3" w:rsidTr="00B93C61">
        <w:tc>
          <w:tcPr>
            <w:tcW w:w="2598"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2599" w:type="dxa"/>
            <w:vMerge/>
          </w:tcPr>
          <w:p w:rsidR="00910268" w:rsidRPr="00086A2C" w:rsidRDefault="00910268" w:rsidP="00086A2C">
            <w:pPr>
              <w:rPr>
                <w:rFonts w:cs="Times New Roman"/>
                <w:lang w:val="fr-FR"/>
              </w:rPr>
            </w:pPr>
          </w:p>
        </w:tc>
        <w:tc>
          <w:tcPr>
            <w:tcW w:w="3256" w:type="dxa"/>
          </w:tcPr>
          <w:p w:rsidR="00910268" w:rsidRPr="00086A2C" w:rsidRDefault="00910268" w:rsidP="00086A2C">
            <w:pPr>
              <w:rPr>
                <w:rFonts w:cs="Times New Roman"/>
                <w:lang w:val="fr-FR"/>
              </w:rPr>
            </w:pPr>
            <w:r>
              <w:rPr>
                <w:rFonts w:cs="Times New Roman"/>
                <w:lang w:val="fr-FR"/>
              </w:rPr>
              <w:t xml:space="preserve">Non, des tests n’ont pas été réalisés, mais sont planifiés </w:t>
            </w:r>
            <w:r w:rsidRPr="00B11F4F">
              <w:rPr>
                <w:rFonts w:cs="Times New Roman"/>
                <w:i/>
                <w:lang w:val="fr-FR"/>
              </w:rPr>
              <w:t>(veuillez indiquer la d</w:t>
            </w:r>
            <w:r>
              <w:rPr>
                <w:rFonts w:cs="Times New Roman"/>
                <w:i/>
                <w:lang w:val="fr-FR"/>
              </w:rPr>
              <w:t>a</w:t>
            </w:r>
            <w:r w:rsidRPr="00B11F4F">
              <w:rPr>
                <w:rFonts w:cs="Times New Roman"/>
                <w:i/>
                <w:lang w:val="fr-FR"/>
              </w:rPr>
              <w:t>te)</w:t>
            </w:r>
          </w:p>
        </w:tc>
        <w:tc>
          <w:tcPr>
            <w:tcW w:w="2599" w:type="dxa"/>
          </w:tcPr>
          <w:p w:rsidR="00910268" w:rsidRPr="00086A2C" w:rsidRDefault="00910268" w:rsidP="00086A2C">
            <w:pPr>
              <w:rPr>
                <w:rFonts w:cs="Times New Roman"/>
                <w:lang w:val="fr-FR"/>
              </w:rPr>
            </w:pPr>
          </w:p>
        </w:tc>
      </w:tr>
      <w:tr w:rsidR="00B41ED7" w:rsidRPr="005077F3" w:rsidTr="00B93C61">
        <w:tc>
          <w:tcPr>
            <w:tcW w:w="2598" w:type="dxa"/>
            <w:vMerge w:val="restart"/>
          </w:tcPr>
          <w:p w:rsidR="00B41ED7" w:rsidRPr="00086A2C" w:rsidRDefault="00B41ED7" w:rsidP="00B11F4F">
            <w:pPr>
              <w:rPr>
                <w:rFonts w:cs="Times New Roman"/>
                <w:lang w:val="fr-FR"/>
              </w:rPr>
            </w:pPr>
            <w:r>
              <w:rPr>
                <w:rFonts w:cs="Times New Roman"/>
                <w:b/>
                <w:szCs w:val="24"/>
                <w:lang w:val="en-GB"/>
              </w:rPr>
              <w:t>Directive OAC</w:t>
            </w:r>
            <w:r w:rsidRPr="00584A3D">
              <w:rPr>
                <w:rFonts w:cs="Times New Roman"/>
                <w:b/>
                <w:szCs w:val="24"/>
                <w:lang w:val="en-GB"/>
              </w:rPr>
              <w:t>I IWXXM Guideline</w:t>
            </w:r>
            <w:r>
              <w:rPr>
                <w:rFonts w:cs="Times New Roman"/>
                <w:b/>
                <w:szCs w:val="24"/>
                <w:lang w:val="en-GB"/>
              </w:rPr>
              <w:t xml:space="preserve">: §2.4, </w:t>
            </w:r>
            <w:r w:rsidRPr="00584A3D">
              <w:rPr>
                <w:rFonts w:cs="Times New Roman"/>
                <w:b/>
                <w:szCs w:val="24"/>
                <w:lang w:val="en-GB"/>
              </w:rPr>
              <w:t xml:space="preserve"> §6.1.3</w:t>
            </w:r>
          </w:p>
        </w:tc>
        <w:tc>
          <w:tcPr>
            <w:tcW w:w="2599" w:type="dxa"/>
            <w:vMerge w:val="restart"/>
          </w:tcPr>
          <w:p w:rsidR="00B41ED7" w:rsidRPr="00086A2C" w:rsidRDefault="00085EC8" w:rsidP="00085EC8">
            <w:pPr>
              <w:rPr>
                <w:rFonts w:cs="Times New Roman"/>
                <w:lang w:val="fr-FR"/>
              </w:rPr>
            </w:pPr>
            <w:r>
              <w:rPr>
                <w:rFonts w:cs="Times New Roman"/>
                <w:lang w:val="fr-FR"/>
              </w:rPr>
              <w:t>8</w:t>
            </w:r>
            <w:r w:rsidR="00B41ED7">
              <w:rPr>
                <w:rFonts w:cs="Times New Roman"/>
                <w:lang w:val="fr-FR"/>
              </w:rPr>
              <w:t xml:space="preserve"> – Commutation des données</w:t>
            </w:r>
          </w:p>
        </w:tc>
        <w:tc>
          <w:tcPr>
            <w:tcW w:w="2599" w:type="dxa"/>
            <w:vMerge w:val="restart"/>
          </w:tcPr>
          <w:p w:rsidR="00B41ED7" w:rsidRPr="00086A2C" w:rsidRDefault="00B41ED7" w:rsidP="00086A2C">
            <w:pPr>
              <w:rPr>
                <w:rFonts w:cs="Times New Roman"/>
                <w:lang w:val="fr-FR"/>
              </w:rPr>
            </w:pPr>
            <w:r>
              <w:rPr>
                <w:rFonts w:cs="Times New Roman"/>
                <w:lang w:val="fr-FR"/>
              </w:rPr>
              <w:t>Est-il prévu que votre Commutateur de données MET prenne en charge l’échange des messages MET au format IWXXM au moyen d’un sous-ensemble ATSMHS étendu avec une ‘’Partie de corps de Transfert de Fichiers (FTBP) ?</w:t>
            </w:r>
          </w:p>
        </w:tc>
        <w:tc>
          <w:tcPr>
            <w:tcW w:w="3256" w:type="dxa"/>
          </w:tcPr>
          <w:p w:rsidR="00B41ED7" w:rsidRPr="00086A2C" w:rsidRDefault="00B41ED7" w:rsidP="00086A2C">
            <w:pPr>
              <w:rPr>
                <w:rFonts w:cs="Times New Roman"/>
                <w:lang w:val="fr-FR"/>
              </w:rPr>
            </w:pPr>
            <w:r>
              <w:rPr>
                <w:rFonts w:cs="Times New Roman"/>
                <w:lang w:val="fr-FR"/>
              </w:rPr>
              <w:t>Aucun support de ‘’Partie de Corps de Transfert de Fichiers (FTBP) n’est prévu.</w:t>
            </w:r>
          </w:p>
        </w:tc>
        <w:tc>
          <w:tcPr>
            <w:tcW w:w="2599" w:type="dxa"/>
          </w:tcPr>
          <w:p w:rsidR="00B41ED7" w:rsidRPr="00086A2C" w:rsidRDefault="00B41ED7" w:rsidP="00086A2C">
            <w:pPr>
              <w:rPr>
                <w:rFonts w:cs="Times New Roman"/>
                <w:lang w:val="fr-FR"/>
              </w:rPr>
            </w:pPr>
          </w:p>
        </w:tc>
      </w:tr>
      <w:tr w:rsidR="00B41ED7" w:rsidRPr="00B11F4F" w:rsidTr="00B93C61">
        <w:tc>
          <w:tcPr>
            <w:tcW w:w="2598" w:type="dxa"/>
            <w:vMerge/>
          </w:tcPr>
          <w:p w:rsidR="00B41ED7" w:rsidRPr="00086A2C" w:rsidRDefault="00B41ED7" w:rsidP="00086A2C">
            <w:pPr>
              <w:rPr>
                <w:rFonts w:cs="Times New Roman"/>
                <w:lang w:val="fr-FR"/>
              </w:rPr>
            </w:pPr>
          </w:p>
        </w:tc>
        <w:tc>
          <w:tcPr>
            <w:tcW w:w="2599" w:type="dxa"/>
            <w:vMerge/>
          </w:tcPr>
          <w:p w:rsidR="00B41ED7" w:rsidRPr="00086A2C" w:rsidRDefault="00B41ED7" w:rsidP="00086A2C">
            <w:pPr>
              <w:rPr>
                <w:rFonts w:cs="Times New Roman"/>
                <w:lang w:val="fr-FR"/>
              </w:rPr>
            </w:pPr>
          </w:p>
        </w:tc>
        <w:tc>
          <w:tcPr>
            <w:tcW w:w="2599" w:type="dxa"/>
            <w:vMerge/>
          </w:tcPr>
          <w:p w:rsidR="00B41ED7" w:rsidRPr="00086A2C" w:rsidRDefault="00B41ED7" w:rsidP="00086A2C">
            <w:pPr>
              <w:rPr>
                <w:rFonts w:cs="Times New Roman"/>
                <w:lang w:val="fr-FR"/>
              </w:rPr>
            </w:pPr>
          </w:p>
        </w:tc>
        <w:tc>
          <w:tcPr>
            <w:tcW w:w="3256" w:type="dxa"/>
          </w:tcPr>
          <w:p w:rsidR="00B41ED7" w:rsidRDefault="00B41ED7" w:rsidP="00B41ED7">
            <w:pPr>
              <w:rPr>
                <w:rFonts w:cs="Times New Roman"/>
                <w:lang w:val="fr-FR"/>
              </w:rPr>
            </w:pPr>
            <w:r>
              <w:rPr>
                <w:rFonts w:cs="Times New Roman"/>
                <w:lang w:val="fr-FR"/>
              </w:rPr>
              <w:t>Le support de ‘’Partie de Corps de Transfert de Fichiers (FTBP) est déjà mis en place entre le Commutateur MET et le Centre COM National</w:t>
            </w:r>
          </w:p>
          <w:p w:rsidR="00B41ED7" w:rsidRPr="00B41ED7" w:rsidRDefault="00B41ED7" w:rsidP="00B41ED7">
            <w:pPr>
              <w:rPr>
                <w:rFonts w:cs="Times New Roman"/>
                <w:i/>
                <w:lang w:val="fr-FR"/>
              </w:rPr>
            </w:pPr>
            <w:r w:rsidRPr="00B41ED7">
              <w:rPr>
                <w:rFonts w:cs="Times New Roman"/>
                <w:i/>
                <w:lang w:val="fr-FR"/>
              </w:rPr>
              <w:t>(indiquer la date)</w:t>
            </w:r>
          </w:p>
        </w:tc>
        <w:tc>
          <w:tcPr>
            <w:tcW w:w="2599" w:type="dxa"/>
          </w:tcPr>
          <w:p w:rsidR="00B41ED7" w:rsidRPr="00086A2C" w:rsidRDefault="00B41ED7" w:rsidP="00086A2C">
            <w:pPr>
              <w:rPr>
                <w:rFonts w:cs="Times New Roman"/>
                <w:lang w:val="fr-FR"/>
              </w:rPr>
            </w:pPr>
          </w:p>
        </w:tc>
      </w:tr>
      <w:tr w:rsidR="00B41ED7" w:rsidRPr="00B11F4F" w:rsidTr="00B93C61">
        <w:tc>
          <w:tcPr>
            <w:tcW w:w="2598" w:type="dxa"/>
            <w:vMerge/>
          </w:tcPr>
          <w:p w:rsidR="00B41ED7" w:rsidRPr="00086A2C" w:rsidRDefault="00B41ED7" w:rsidP="00086A2C">
            <w:pPr>
              <w:rPr>
                <w:rFonts w:cs="Times New Roman"/>
                <w:lang w:val="fr-FR"/>
              </w:rPr>
            </w:pPr>
          </w:p>
        </w:tc>
        <w:tc>
          <w:tcPr>
            <w:tcW w:w="2599" w:type="dxa"/>
            <w:vMerge/>
          </w:tcPr>
          <w:p w:rsidR="00B41ED7" w:rsidRPr="00086A2C" w:rsidRDefault="00B41ED7" w:rsidP="00086A2C">
            <w:pPr>
              <w:rPr>
                <w:rFonts w:cs="Times New Roman"/>
                <w:lang w:val="fr-FR"/>
              </w:rPr>
            </w:pPr>
          </w:p>
        </w:tc>
        <w:tc>
          <w:tcPr>
            <w:tcW w:w="2599" w:type="dxa"/>
            <w:vMerge/>
          </w:tcPr>
          <w:p w:rsidR="00B41ED7" w:rsidRPr="00086A2C" w:rsidRDefault="00B41ED7" w:rsidP="00086A2C">
            <w:pPr>
              <w:rPr>
                <w:rFonts w:cs="Times New Roman"/>
                <w:lang w:val="fr-FR"/>
              </w:rPr>
            </w:pPr>
          </w:p>
        </w:tc>
        <w:tc>
          <w:tcPr>
            <w:tcW w:w="3256" w:type="dxa"/>
          </w:tcPr>
          <w:p w:rsidR="00B41ED7" w:rsidRDefault="00B41ED7" w:rsidP="00B41ED7">
            <w:pPr>
              <w:rPr>
                <w:rFonts w:cs="Times New Roman"/>
                <w:lang w:val="fr-FR"/>
              </w:rPr>
            </w:pPr>
            <w:r>
              <w:rPr>
                <w:rFonts w:cs="Times New Roman"/>
                <w:lang w:val="fr-FR"/>
              </w:rPr>
              <w:t>Le support de ‘’Partie de Corps de Transfert de Fichiers (FTBP) est prévu entre le Commutateur MET et le Centre COM National</w:t>
            </w:r>
          </w:p>
          <w:p w:rsidR="00B41ED7" w:rsidRPr="00B41ED7" w:rsidRDefault="00B41ED7" w:rsidP="00B41ED7">
            <w:pPr>
              <w:rPr>
                <w:rFonts w:cs="Times New Roman"/>
                <w:i/>
                <w:lang w:val="fr-FR"/>
              </w:rPr>
            </w:pPr>
            <w:r w:rsidRPr="00B41ED7">
              <w:rPr>
                <w:rFonts w:cs="Times New Roman"/>
                <w:i/>
                <w:lang w:val="fr-FR"/>
              </w:rPr>
              <w:t>(indiquer la date)</w:t>
            </w:r>
          </w:p>
        </w:tc>
        <w:tc>
          <w:tcPr>
            <w:tcW w:w="2599" w:type="dxa"/>
          </w:tcPr>
          <w:p w:rsidR="00B41ED7" w:rsidRPr="00086A2C" w:rsidRDefault="00B41ED7" w:rsidP="00086A2C">
            <w:pPr>
              <w:rPr>
                <w:rFonts w:cs="Times New Roman"/>
                <w:lang w:val="fr-FR"/>
              </w:rPr>
            </w:pPr>
          </w:p>
        </w:tc>
      </w:tr>
      <w:tr w:rsidR="00A913EB" w:rsidRPr="00B11F4F" w:rsidTr="00B93C61">
        <w:tc>
          <w:tcPr>
            <w:tcW w:w="2598" w:type="dxa"/>
            <w:vMerge w:val="restart"/>
          </w:tcPr>
          <w:p w:rsidR="00A913EB" w:rsidRPr="00086A2C" w:rsidRDefault="00A913EB" w:rsidP="005F3565">
            <w:pPr>
              <w:rPr>
                <w:rFonts w:cs="Times New Roman"/>
                <w:lang w:val="fr-FR"/>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xml:space="preserve">: §2.5, </w:t>
            </w:r>
            <w:r w:rsidRPr="00584A3D">
              <w:rPr>
                <w:rFonts w:cs="Times New Roman"/>
                <w:b/>
                <w:szCs w:val="24"/>
                <w:lang w:val="en-GB"/>
              </w:rPr>
              <w:t xml:space="preserve"> §</w:t>
            </w:r>
            <w:r>
              <w:rPr>
                <w:rFonts w:cs="Times New Roman"/>
                <w:b/>
                <w:szCs w:val="24"/>
                <w:lang w:val="en-GB"/>
              </w:rPr>
              <w:t>5</w:t>
            </w:r>
            <w:r w:rsidRPr="00584A3D">
              <w:rPr>
                <w:rFonts w:cs="Times New Roman"/>
                <w:b/>
                <w:szCs w:val="24"/>
                <w:lang w:val="en-GB"/>
              </w:rPr>
              <w:t>.3</w:t>
            </w:r>
          </w:p>
        </w:tc>
        <w:tc>
          <w:tcPr>
            <w:tcW w:w="2599" w:type="dxa"/>
            <w:vMerge w:val="restart"/>
          </w:tcPr>
          <w:p w:rsidR="00A913EB" w:rsidRPr="00086A2C" w:rsidRDefault="00085EC8" w:rsidP="00086A2C">
            <w:pPr>
              <w:rPr>
                <w:rFonts w:cs="Times New Roman"/>
                <w:lang w:val="fr-FR"/>
              </w:rPr>
            </w:pPr>
            <w:r>
              <w:rPr>
                <w:rFonts w:cs="Times New Roman"/>
                <w:lang w:val="fr-FR"/>
              </w:rPr>
              <w:t>9</w:t>
            </w:r>
            <w:r w:rsidR="00A913EB">
              <w:rPr>
                <w:rFonts w:cs="Times New Roman"/>
                <w:lang w:val="fr-FR"/>
              </w:rPr>
              <w:t xml:space="preserve"> – Fourniture des données OPMET au format IWXXM par le NOC</w:t>
            </w:r>
            <w:r w:rsidR="005F3565">
              <w:rPr>
                <w:rFonts w:cs="Times New Roman"/>
                <w:lang w:val="fr-FR"/>
              </w:rPr>
              <w:t xml:space="preserve"> et/ou le BCC</w:t>
            </w:r>
          </w:p>
        </w:tc>
        <w:tc>
          <w:tcPr>
            <w:tcW w:w="2599" w:type="dxa"/>
            <w:vMerge w:val="restart"/>
          </w:tcPr>
          <w:p w:rsidR="00A913EB" w:rsidRPr="00086A2C" w:rsidRDefault="00A913EB" w:rsidP="00086A2C">
            <w:pPr>
              <w:rPr>
                <w:rFonts w:cs="Times New Roman"/>
                <w:lang w:val="fr-FR"/>
              </w:rPr>
            </w:pPr>
            <w:r>
              <w:rPr>
                <w:rFonts w:cs="Times New Roman"/>
                <w:lang w:val="fr-FR"/>
              </w:rPr>
              <w:t>Quel est l’état de mise en œuvre, ou de mise en œuvre planifiée des données OPMET au format IWXXM par votre NOC </w:t>
            </w:r>
            <w:r w:rsidR="005F3565">
              <w:rPr>
                <w:rFonts w:cs="Times New Roman"/>
                <w:lang w:val="fr-FR"/>
              </w:rPr>
              <w:t>ou le BCC (si applicable)</w:t>
            </w:r>
            <w:r>
              <w:rPr>
                <w:rFonts w:cs="Times New Roman"/>
                <w:lang w:val="fr-FR"/>
              </w:rPr>
              <w:t>?</w:t>
            </w:r>
          </w:p>
        </w:tc>
        <w:tc>
          <w:tcPr>
            <w:tcW w:w="3256" w:type="dxa"/>
          </w:tcPr>
          <w:p w:rsidR="00A913EB" w:rsidRDefault="00A913EB" w:rsidP="00086A2C">
            <w:pPr>
              <w:rPr>
                <w:rFonts w:cs="Times New Roman"/>
                <w:lang w:val="fr-FR"/>
              </w:rPr>
            </w:pPr>
            <w:r>
              <w:rPr>
                <w:rFonts w:cs="Times New Roman"/>
                <w:lang w:val="fr-FR"/>
              </w:rPr>
              <w:t>Aucune planification de mise en œuvre des données OPMET au format IWXXM n’est envisagée.</w:t>
            </w:r>
          </w:p>
          <w:p w:rsidR="00A913EB" w:rsidRPr="00DD2D61" w:rsidRDefault="00A913EB" w:rsidP="00086A2C">
            <w:pPr>
              <w:rPr>
                <w:rFonts w:cs="Times New Roman"/>
                <w:i/>
                <w:lang w:val="fr-FR"/>
              </w:rPr>
            </w:pPr>
            <w:r w:rsidRPr="00DD2D61">
              <w:rPr>
                <w:rFonts w:cs="Times New Roman"/>
                <w:i/>
                <w:lang w:val="fr-FR"/>
              </w:rPr>
              <w:t>(indiquer les raisons)</w:t>
            </w:r>
          </w:p>
        </w:tc>
        <w:tc>
          <w:tcPr>
            <w:tcW w:w="2599" w:type="dxa"/>
          </w:tcPr>
          <w:p w:rsidR="00A913EB" w:rsidRPr="00086A2C" w:rsidRDefault="00A913EB" w:rsidP="00086A2C">
            <w:pPr>
              <w:rPr>
                <w:rFonts w:cs="Times New Roman"/>
                <w:lang w:val="fr-FR"/>
              </w:rPr>
            </w:pPr>
          </w:p>
        </w:tc>
      </w:tr>
      <w:tr w:rsidR="00A913EB" w:rsidRPr="00B11F4F" w:rsidTr="00B93C61">
        <w:tc>
          <w:tcPr>
            <w:tcW w:w="2598" w:type="dxa"/>
            <w:vMerge/>
          </w:tcPr>
          <w:p w:rsidR="00A913EB" w:rsidRPr="00086A2C" w:rsidRDefault="00A913EB" w:rsidP="00086A2C">
            <w:pPr>
              <w:rPr>
                <w:rFonts w:cs="Times New Roman"/>
                <w:lang w:val="fr-FR"/>
              </w:rPr>
            </w:pPr>
          </w:p>
        </w:tc>
        <w:tc>
          <w:tcPr>
            <w:tcW w:w="2599" w:type="dxa"/>
            <w:vMerge/>
          </w:tcPr>
          <w:p w:rsidR="00A913EB" w:rsidRPr="00086A2C" w:rsidRDefault="00A913EB" w:rsidP="00086A2C">
            <w:pPr>
              <w:rPr>
                <w:rFonts w:cs="Times New Roman"/>
                <w:lang w:val="fr-FR"/>
              </w:rPr>
            </w:pPr>
          </w:p>
        </w:tc>
        <w:tc>
          <w:tcPr>
            <w:tcW w:w="2599" w:type="dxa"/>
            <w:vMerge/>
          </w:tcPr>
          <w:p w:rsidR="00A913EB" w:rsidRPr="00086A2C" w:rsidRDefault="00A913EB" w:rsidP="00086A2C">
            <w:pPr>
              <w:rPr>
                <w:rFonts w:cs="Times New Roman"/>
                <w:lang w:val="fr-FR"/>
              </w:rPr>
            </w:pPr>
          </w:p>
        </w:tc>
        <w:tc>
          <w:tcPr>
            <w:tcW w:w="3256" w:type="dxa"/>
          </w:tcPr>
          <w:p w:rsidR="00A913EB" w:rsidRPr="00086A2C" w:rsidRDefault="00A913EB" w:rsidP="00086A2C">
            <w:pPr>
              <w:rPr>
                <w:rFonts w:cs="Times New Roman"/>
                <w:lang w:val="fr-FR"/>
              </w:rPr>
            </w:pPr>
            <w:r>
              <w:rPr>
                <w:rFonts w:cs="Times New Roman"/>
                <w:lang w:val="fr-FR"/>
              </w:rPr>
              <w:t xml:space="preserve">METAR et SPECI au format IWXXM mis en œuvre. </w:t>
            </w:r>
            <w:r w:rsidRPr="00DD2D61">
              <w:rPr>
                <w:rFonts w:cs="Times New Roman"/>
                <w:i/>
                <w:lang w:val="fr-FR"/>
              </w:rPr>
              <w:t>(indiquer la date)</w:t>
            </w:r>
          </w:p>
        </w:tc>
        <w:tc>
          <w:tcPr>
            <w:tcW w:w="2599" w:type="dxa"/>
          </w:tcPr>
          <w:p w:rsidR="00A913EB" w:rsidRPr="00086A2C" w:rsidRDefault="00A913EB" w:rsidP="00086A2C">
            <w:pPr>
              <w:rPr>
                <w:rFonts w:cs="Times New Roman"/>
                <w:lang w:val="fr-FR"/>
              </w:rPr>
            </w:pPr>
          </w:p>
        </w:tc>
      </w:tr>
      <w:tr w:rsidR="00A913EB" w:rsidRPr="00DD2D61" w:rsidTr="00B93C61">
        <w:tc>
          <w:tcPr>
            <w:tcW w:w="2598"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3256" w:type="dxa"/>
          </w:tcPr>
          <w:p w:rsidR="00A913EB" w:rsidRPr="00086A2C" w:rsidRDefault="00A913EB" w:rsidP="00DD2D61">
            <w:pPr>
              <w:rPr>
                <w:rFonts w:cs="Times New Roman"/>
                <w:lang w:val="fr-FR"/>
              </w:rPr>
            </w:pPr>
            <w:r>
              <w:rPr>
                <w:rFonts w:cs="Times New Roman"/>
                <w:lang w:val="fr-FR"/>
              </w:rPr>
              <w:t xml:space="preserve">METAR et SPECI au format IWXXM planifié. </w:t>
            </w:r>
            <w:r w:rsidRPr="00DD2D61">
              <w:rPr>
                <w:rFonts w:cs="Times New Roman"/>
                <w:i/>
                <w:lang w:val="fr-FR"/>
              </w:rPr>
              <w:t>(indiquer la date)</w:t>
            </w:r>
          </w:p>
        </w:tc>
        <w:tc>
          <w:tcPr>
            <w:tcW w:w="2599" w:type="dxa"/>
          </w:tcPr>
          <w:p w:rsidR="00A913EB" w:rsidRPr="00086A2C" w:rsidRDefault="00A913EB" w:rsidP="00DD2D61">
            <w:pPr>
              <w:rPr>
                <w:rFonts w:cs="Times New Roman"/>
                <w:lang w:val="fr-FR"/>
              </w:rPr>
            </w:pPr>
          </w:p>
        </w:tc>
      </w:tr>
      <w:tr w:rsidR="00A913EB" w:rsidRPr="00DD2D61" w:rsidTr="00B93C61">
        <w:tc>
          <w:tcPr>
            <w:tcW w:w="2598"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3256" w:type="dxa"/>
          </w:tcPr>
          <w:p w:rsidR="00A913EB" w:rsidRPr="00086A2C" w:rsidRDefault="00A913EB" w:rsidP="00DD2D61">
            <w:pPr>
              <w:rPr>
                <w:rFonts w:cs="Times New Roman"/>
                <w:lang w:val="fr-FR"/>
              </w:rPr>
            </w:pPr>
            <w:r>
              <w:rPr>
                <w:rFonts w:cs="Times New Roman"/>
                <w:lang w:val="fr-FR"/>
              </w:rPr>
              <w:t xml:space="preserve">TAF au format IWXXM mis en œuvre. </w:t>
            </w:r>
            <w:r w:rsidRPr="00DD2D61">
              <w:rPr>
                <w:rFonts w:cs="Times New Roman"/>
                <w:i/>
                <w:lang w:val="fr-FR"/>
              </w:rPr>
              <w:t>(indiquer la date)</w:t>
            </w:r>
          </w:p>
        </w:tc>
        <w:tc>
          <w:tcPr>
            <w:tcW w:w="2599" w:type="dxa"/>
          </w:tcPr>
          <w:p w:rsidR="00A913EB" w:rsidRPr="00086A2C" w:rsidRDefault="00A913EB" w:rsidP="00DD2D61">
            <w:pPr>
              <w:rPr>
                <w:rFonts w:cs="Times New Roman"/>
                <w:lang w:val="fr-FR"/>
              </w:rPr>
            </w:pPr>
          </w:p>
        </w:tc>
      </w:tr>
      <w:tr w:rsidR="00A913EB" w:rsidRPr="00DD2D61" w:rsidTr="00B93C61">
        <w:tc>
          <w:tcPr>
            <w:tcW w:w="2598"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3256" w:type="dxa"/>
          </w:tcPr>
          <w:p w:rsidR="00A913EB" w:rsidRPr="00086A2C" w:rsidRDefault="00A913EB" w:rsidP="00DD2D61">
            <w:pPr>
              <w:rPr>
                <w:rFonts w:cs="Times New Roman"/>
                <w:lang w:val="fr-FR"/>
              </w:rPr>
            </w:pPr>
            <w:r>
              <w:rPr>
                <w:rFonts w:cs="Times New Roman"/>
                <w:lang w:val="fr-FR"/>
              </w:rPr>
              <w:t xml:space="preserve">TAF au format IWXXM planifié. </w:t>
            </w:r>
            <w:r w:rsidRPr="00DD2D61">
              <w:rPr>
                <w:rFonts w:cs="Times New Roman"/>
                <w:i/>
                <w:lang w:val="fr-FR"/>
              </w:rPr>
              <w:t>(indiquer la date)</w:t>
            </w:r>
          </w:p>
        </w:tc>
        <w:tc>
          <w:tcPr>
            <w:tcW w:w="2599" w:type="dxa"/>
          </w:tcPr>
          <w:p w:rsidR="00A913EB" w:rsidRPr="00086A2C" w:rsidRDefault="00A913EB" w:rsidP="00DD2D61">
            <w:pPr>
              <w:rPr>
                <w:rFonts w:cs="Times New Roman"/>
                <w:lang w:val="fr-FR"/>
              </w:rPr>
            </w:pPr>
          </w:p>
        </w:tc>
      </w:tr>
      <w:tr w:rsidR="00A913EB" w:rsidRPr="00DD2D61" w:rsidTr="00B93C61">
        <w:tc>
          <w:tcPr>
            <w:tcW w:w="2598"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3256" w:type="dxa"/>
          </w:tcPr>
          <w:p w:rsidR="00A913EB" w:rsidRPr="00086A2C" w:rsidRDefault="00A913EB" w:rsidP="00DD2D61">
            <w:pPr>
              <w:rPr>
                <w:rFonts w:cs="Times New Roman"/>
                <w:lang w:val="fr-FR"/>
              </w:rPr>
            </w:pPr>
            <w:r>
              <w:rPr>
                <w:rFonts w:cs="Times New Roman"/>
                <w:lang w:val="fr-FR"/>
              </w:rPr>
              <w:t xml:space="preserve">SIGMET au format IWXXM mis en œuvre. </w:t>
            </w:r>
            <w:r w:rsidRPr="00DD2D61">
              <w:rPr>
                <w:rFonts w:cs="Times New Roman"/>
                <w:i/>
                <w:lang w:val="fr-FR"/>
              </w:rPr>
              <w:t>(indiquer la date)</w:t>
            </w:r>
          </w:p>
        </w:tc>
        <w:tc>
          <w:tcPr>
            <w:tcW w:w="2599" w:type="dxa"/>
          </w:tcPr>
          <w:p w:rsidR="00A913EB" w:rsidRPr="00086A2C" w:rsidRDefault="00A913EB" w:rsidP="00DD2D61">
            <w:pPr>
              <w:rPr>
                <w:rFonts w:cs="Times New Roman"/>
                <w:lang w:val="fr-FR"/>
              </w:rPr>
            </w:pPr>
          </w:p>
        </w:tc>
      </w:tr>
      <w:tr w:rsidR="00A913EB" w:rsidRPr="00DD2D61" w:rsidTr="00B93C61">
        <w:tc>
          <w:tcPr>
            <w:tcW w:w="2598"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2599" w:type="dxa"/>
            <w:vMerge/>
          </w:tcPr>
          <w:p w:rsidR="00A913EB" w:rsidRPr="00086A2C" w:rsidRDefault="00A913EB" w:rsidP="00DD2D61">
            <w:pPr>
              <w:rPr>
                <w:rFonts w:cs="Times New Roman"/>
                <w:lang w:val="fr-FR"/>
              </w:rPr>
            </w:pPr>
          </w:p>
        </w:tc>
        <w:tc>
          <w:tcPr>
            <w:tcW w:w="3256" w:type="dxa"/>
          </w:tcPr>
          <w:p w:rsidR="00A913EB" w:rsidRPr="00086A2C" w:rsidRDefault="00A913EB" w:rsidP="00DD2D61">
            <w:pPr>
              <w:rPr>
                <w:rFonts w:cs="Times New Roman"/>
                <w:lang w:val="fr-FR"/>
              </w:rPr>
            </w:pPr>
            <w:r>
              <w:rPr>
                <w:rFonts w:cs="Times New Roman"/>
                <w:lang w:val="fr-FR"/>
              </w:rPr>
              <w:t xml:space="preserve">SIGMET au format IWXXM planifié. </w:t>
            </w:r>
            <w:r w:rsidRPr="00DD2D61">
              <w:rPr>
                <w:rFonts w:cs="Times New Roman"/>
                <w:i/>
                <w:lang w:val="fr-FR"/>
              </w:rPr>
              <w:t>(indiquer la date)</w:t>
            </w:r>
          </w:p>
        </w:tc>
        <w:tc>
          <w:tcPr>
            <w:tcW w:w="2599" w:type="dxa"/>
          </w:tcPr>
          <w:p w:rsidR="00A913EB" w:rsidRPr="00086A2C" w:rsidRDefault="00A913EB" w:rsidP="00DD2D61">
            <w:pPr>
              <w:rPr>
                <w:rFonts w:cs="Times New Roman"/>
                <w:lang w:val="fr-FR"/>
              </w:rPr>
            </w:pPr>
          </w:p>
        </w:tc>
      </w:tr>
      <w:tr w:rsidR="005F3565" w:rsidRPr="00DD2D61" w:rsidTr="00B93C61">
        <w:tc>
          <w:tcPr>
            <w:tcW w:w="2598" w:type="dxa"/>
            <w:vMerge w:val="restart"/>
          </w:tcPr>
          <w:p w:rsidR="005F3565" w:rsidRPr="00086A2C" w:rsidRDefault="005F3565" w:rsidP="005F3565">
            <w:pPr>
              <w:rPr>
                <w:rFonts w:cs="Times New Roman"/>
                <w:lang w:val="fr-FR"/>
              </w:rPr>
            </w:pPr>
            <w:r>
              <w:rPr>
                <w:rFonts w:cs="Times New Roman"/>
                <w:b/>
                <w:szCs w:val="24"/>
                <w:lang w:val="en-GB"/>
              </w:rPr>
              <w:lastRenderedPageBreak/>
              <w:t>Directive OAC</w:t>
            </w:r>
            <w:r w:rsidRPr="00584A3D">
              <w:rPr>
                <w:rFonts w:cs="Times New Roman"/>
                <w:b/>
                <w:szCs w:val="24"/>
                <w:lang w:val="en-GB"/>
              </w:rPr>
              <w:t>I IWXXM</w:t>
            </w:r>
            <w:r>
              <w:rPr>
                <w:rFonts w:cs="Times New Roman"/>
                <w:b/>
                <w:szCs w:val="24"/>
                <w:lang w:val="en-GB"/>
              </w:rPr>
              <w:t>: §4.1.</w:t>
            </w:r>
            <w:r w:rsidR="00F933AA">
              <w:rPr>
                <w:rFonts w:cs="Times New Roman"/>
                <w:b/>
                <w:szCs w:val="24"/>
                <w:lang w:val="en-GB"/>
              </w:rPr>
              <w:t>5</w:t>
            </w:r>
          </w:p>
        </w:tc>
        <w:tc>
          <w:tcPr>
            <w:tcW w:w="2599" w:type="dxa"/>
            <w:vMerge w:val="restart"/>
          </w:tcPr>
          <w:p w:rsidR="005F3565" w:rsidRPr="00086A2C" w:rsidRDefault="00085EC8" w:rsidP="000F30AA">
            <w:pPr>
              <w:rPr>
                <w:rFonts w:cs="Times New Roman"/>
                <w:lang w:val="fr-FR"/>
              </w:rPr>
            </w:pPr>
            <w:r>
              <w:rPr>
                <w:rFonts w:cs="Times New Roman"/>
                <w:lang w:val="fr-FR"/>
              </w:rPr>
              <w:t>10</w:t>
            </w:r>
            <w:r w:rsidR="005F3565">
              <w:rPr>
                <w:rFonts w:cs="Times New Roman"/>
                <w:lang w:val="fr-FR"/>
              </w:rPr>
              <w:t xml:space="preserve"> – IROG /</w:t>
            </w:r>
            <w:r w:rsidR="000F30AA">
              <w:rPr>
                <w:rFonts w:cs="Times New Roman"/>
                <w:lang w:val="fr-FR"/>
              </w:rPr>
              <w:t>BRDO</w:t>
            </w:r>
            <w:r w:rsidR="005F3565">
              <w:rPr>
                <w:rFonts w:cs="Times New Roman"/>
                <w:lang w:val="fr-FR"/>
              </w:rPr>
              <w:t xml:space="preserve"> /NOC</w:t>
            </w:r>
          </w:p>
        </w:tc>
        <w:tc>
          <w:tcPr>
            <w:tcW w:w="2599" w:type="dxa"/>
            <w:vMerge w:val="restart"/>
          </w:tcPr>
          <w:p w:rsidR="005F3565" w:rsidRPr="00086A2C" w:rsidRDefault="005F3565" w:rsidP="005F3565">
            <w:pPr>
              <w:rPr>
                <w:rFonts w:cs="Times New Roman"/>
                <w:lang w:val="fr-FR"/>
              </w:rPr>
            </w:pPr>
            <w:r>
              <w:rPr>
                <w:rFonts w:cs="Times New Roman"/>
                <w:lang w:val="fr-FR"/>
              </w:rPr>
              <w:t>Votre BRDO a-t-elle la capacité de gérer les données OPMET au format IWXXM et les TAC ?</w:t>
            </w:r>
          </w:p>
        </w:tc>
        <w:tc>
          <w:tcPr>
            <w:tcW w:w="3256" w:type="dxa"/>
          </w:tcPr>
          <w:p w:rsidR="005F3565" w:rsidRPr="005F3565" w:rsidRDefault="005F3565" w:rsidP="005F3565">
            <w:pPr>
              <w:rPr>
                <w:rFonts w:cs="Times New Roman"/>
                <w:i/>
                <w:lang w:val="fr-FR"/>
              </w:rPr>
            </w:pPr>
            <w:r>
              <w:rPr>
                <w:rFonts w:cs="Times New Roman"/>
                <w:lang w:val="fr-FR"/>
              </w:rPr>
              <w:t xml:space="preserve">Oui, </w:t>
            </w:r>
            <w:r w:rsidRPr="005F3565">
              <w:rPr>
                <w:rFonts w:cs="Times New Roman"/>
                <w:i/>
                <w:lang w:val="fr-FR"/>
              </w:rPr>
              <w:t>(indiquer depuis quand ?)</w:t>
            </w:r>
          </w:p>
          <w:p w:rsidR="005F3565" w:rsidRDefault="005F3565" w:rsidP="005F3565">
            <w:pPr>
              <w:rPr>
                <w:rFonts w:cs="Times New Roman"/>
                <w:lang w:val="fr-FR"/>
              </w:rPr>
            </w:pPr>
          </w:p>
        </w:tc>
        <w:tc>
          <w:tcPr>
            <w:tcW w:w="2599" w:type="dxa"/>
          </w:tcPr>
          <w:p w:rsidR="005F3565" w:rsidRPr="00086A2C" w:rsidRDefault="005F3565" w:rsidP="00DD2D61">
            <w:pPr>
              <w:rPr>
                <w:rFonts w:cs="Times New Roman"/>
                <w:lang w:val="fr-FR"/>
              </w:rPr>
            </w:pPr>
          </w:p>
        </w:tc>
      </w:tr>
      <w:tr w:rsidR="005F3565" w:rsidRPr="00DD2D61" w:rsidTr="00B93C61">
        <w:tc>
          <w:tcPr>
            <w:tcW w:w="2598" w:type="dxa"/>
            <w:vMerge/>
          </w:tcPr>
          <w:p w:rsidR="005F3565" w:rsidRPr="00086A2C" w:rsidRDefault="005F3565" w:rsidP="00DD2D61">
            <w:pPr>
              <w:rPr>
                <w:rFonts w:cs="Times New Roman"/>
                <w:lang w:val="fr-FR"/>
              </w:rPr>
            </w:pPr>
          </w:p>
        </w:tc>
        <w:tc>
          <w:tcPr>
            <w:tcW w:w="2599" w:type="dxa"/>
            <w:vMerge/>
          </w:tcPr>
          <w:p w:rsidR="005F3565" w:rsidRPr="00086A2C" w:rsidRDefault="005F3565" w:rsidP="00DD2D61">
            <w:pPr>
              <w:rPr>
                <w:rFonts w:cs="Times New Roman"/>
                <w:lang w:val="fr-FR"/>
              </w:rPr>
            </w:pPr>
          </w:p>
        </w:tc>
        <w:tc>
          <w:tcPr>
            <w:tcW w:w="2599" w:type="dxa"/>
            <w:vMerge/>
          </w:tcPr>
          <w:p w:rsidR="005F3565" w:rsidRPr="00086A2C" w:rsidRDefault="005F3565" w:rsidP="00DD2D61">
            <w:pPr>
              <w:rPr>
                <w:rFonts w:cs="Times New Roman"/>
                <w:lang w:val="fr-FR"/>
              </w:rPr>
            </w:pPr>
          </w:p>
        </w:tc>
        <w:tc>
          <w:tcPr>
            <w:tcW w:w="3256" w:type="dxa"/>
          </w:tcPr>
          <w:p w:rsidR="005F3565" w:rsidRDefault="005F3565" w:rsidP="00DD2D61">
            <w:pPr>
              <w:rPr>
                <w:rFonts w:cs="Times New Roman"/>
                <w:lang w:val="fr-FR"/>
              </w:rPr>
            </w:pPr>
            <w:r>
              <w:rPr>
                <w:rFonts w:cs="Times New Roman"/>
                <w:lang w:val="fr-FR"/>
              </w:rPr>
              <w:t>Non</w:t>
            </w:r>
            <w:r w:rsidRPr="005F3565">
              <w:rPr>
                <w:rFonts w:cs="Times New Roman"/>
                <w:i/>
                <w:lang w:val="fr-FR"/>
              </w:rPr>
              <w:t>, (indiquer la raison)</w:t>
            </w:r>
          </w:p>
        </w:tc>
        <w:tc>
          <w:tcPr>
            <w:tcW w:w="2599" w:type="dxa"/>
          </w:tcPr>
          <w:p w:rsidR="005F3565" w:rsidRPr="00086A2C" w:rsidRDefault="005F3565" w:rsidP="00DD2D61">
            <w:pPr>
              <w:rPr>
                <w:rFonts w:cs="Times New Roman"/>
                <w:lang w:val="fr-FR"/>
              </w:rPr>
            </w:pPr>
          </w:p>
        </w:tc>
      </w:tr>
      <w:tr w:rsidR="00F933AA" w:rsidRPr="005077F3" w:rsidTr="00B93C61">
        <w:tc>
          <w:tcPr>
            <w:tcW w:w="2598" w:type="dxa"/>
            <w:vMerge w:val="restart"/>
          </w:tcPr>
          <w:p w:rsidR="00F933AA" w:rsidRPr="00086A2C" w:rsidRDefault="00F933AA" w:rsidP="00DD2D61">
            <w:pPr>
              <w:rPr>
                <w:rFonts w:cs="Times New Roman"/>
                <w:lang w:val="fr-FR"/>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§4.1.5</w:t>
            </w:r>
          </w:p>
        </w:tc>
        <w:tc>
          <w:tcPr>
            <w:tcW w:w="2599" w:type="dxa"/>
            <w:vMerge w:val="restart"/>
          </w:tcPr>
          <w:p w:rsidR="00F933AA" w:rsidRPr="00086A2C" w:rsidRDefault="00085EC8" w:rsidP="00085EC8">
            <w:pPr>
              <w:rPr>
                <w:rFonts w:cs="Times New Roman"/>
                <w:lang w:val="fr-FR"/>
              </w:rPr>
            </w:pPr>
            <w:r>
              <w:rPr>
                <w:rFonts w:cs="Times New Roman"/>
                <w:lang w:val="fr-FR"/>
              </w:rPr>
              <w:t>11</w:t>
            </w:r>
            <w:r w:rsidR="00F933AA">
              <w:rPr>
                <w:rFonts w:cs="Times New Roman"/>
                <w:lang w:val="fr-FR"/>
              </w:rPr>
              <w:t xml:space="preserve"> – IROG /</w:t>
            </w:r>
            <w:r w:rsidR="000F30AA">
              <w:rPr>
                <w:rFonts w:cs="Times New Roman"/>
                <w:lang w:val="fr-FR"/>
              </w:rPr>
              <w:t>BRDO</w:t>
            </w:r>
            <w:r w:rsidR="00F933AA">
              <w:rPr>
                <w:rFonts w:cs="Times New Roman"/>
                <w:lang w:val="fr-FR"/>
              </w:rPr>
              <w:t xml:space="preserve"> /NOC</w:t>
            </w:r>
          </w:p>
        </w:tc>
        <w:tc>
          <w:tcPr>
            <w:tcW w:w="2599" w:type="dxa"/>
            <w:vMerge w:val="restart"/>
          </w:tcPr>
          <w:p w:rsidR="00F933AA" w:rsidRPr="00086A2C" w:rsidRDefault="00F933AA" w:rsidP="00DD2D61">
            <w:pPr>
              <w:rPr>
                <w:rFonts w:cs="Times New Roman"/>
                <w:lang w:val="fr-FR"/>
              </w:rPr>
            </w:pPr>
            <w:r>
              <w:rPr>
                <w:rFonts w:cs="Times New Roman"/>
                <w:lang w:val="fr-FR"/>
              </w:rPr>
              <w:t>Votre producteur de données IWXXM dispose-t-il de processus pour gérer et mettre à jour les métadonnées ?</w:t>
            </w:r>
          </w:p>
        </w:tc>
        <w:tc>
          <w:tcPr>
            <w:tcW w:w="3256" w:type="dxa"/>
          </w:tcPr>
          <w:p w:rsidR="00F933AA" w:rsidRDefault="00F933AA" w:rsidP="00DD2D61">
            <w:pPr>
              <w:rPr>
                <w:rFonts w:cs="Times New Roman"/>
                <w:lang w:val="fr-FR"/>
              </w:rPr>
            </w:pPr>
            <w:r>
              <w:rPr>
                <w:rFonts w:cs="Times New Roman"/>
                <w:lang w:val="fr-FR"/>
              </w:rPr>
              <w:t>Oui, des processus pour gérer les métadonnées ont été développés et mis en œuvre.</w:t>
            </w:r>
          </w:p>
        </w:tc>
        <w:tc>
          <w:tcPr>
            <w:tcW w:w="2599" w:type="dxa"/>
          </w:tcPr>
          <w:p w:rsidR="00F933AA" w:rsidRPr="00086A2C" w:rsidRDefault="00F933AA" w:rsidP="00DD2D61">
            <w:pPr>
              <w:rPr>
                <w:rFonts w:cs="Times New Roman"/>
                <w:lang w:val="fr-FR"/>
              </w:rPr>
            </w:pPr>
          </w:p>
        </w:tc>
      </w:tr>
      <w:tr w:rsidR="00F933AA" w:rsidRPr="005077F3" w:rsidTr="00B93C61">
        <w:tc>
          <w:tcPr>
            <w:tcW w:w="2598" w:type="dxa"/>
            <w:vMerge/>
          </w:tcPr>
          <w:p w:rsidR="00F933AA" w:rsidRPr="00086A2C" w:rsidRDefault="00F933AA" w:rsidP="00DD2D61">
            <w:pPr>
              <w:rPr>
                <w:rFonts w:cs="Times New Roman"/>
                <w:lang w:val="fr-FR"/>
              </w:rPr>
            </w:pPr>
          </w:p>
        </w:tc>
        <w:tc>
          <w:tcPr>
            <w:tcW w:w="2599" w:type="dxa"/>
            <w:vMerge/>
          </w:tcPr>
          <w:p w:rsidR="00F933AA" w:rsidRPr="00086A2C" w:rsidRDefault="00F933AA" w:rsidP="00DD2D61">
            <w:pPr>
              <w:rPr>
                <w:rFonts w:cs="Times New Roman"/>
                <w:lang w:val="fr-FR"/>
              </w:rPr>
            </w:pPr>
          </w:p>
        </w:tc>
        <w:tc>
          <w:tcPr>
            <w:tcW w:w="2599" w:type="dxa"/>
            <w:vMerge/>
          </w:tcPr>
          <w:p w:rsidR="00F933AA" w:rsidRPr="00086A2C" w:rsidRDefault="00F933AA" w:rsidP="00DD2D61">
            <w:pPr>
              <w:rPr>
                <w:rFonts w:cs="Times New Roman"/>
                <w:lang w:val="fr-FR"/>
              </w:rPr>
            </w:pPr>
          </w:p>
        </w:tc>
        <w:tc>
          <w:tcPr>
            <w:tcW w:w="3256" w:type="dxa"/>
          </w:tcPr>
          <w:p w:rsidR="00F933AA" w:rsidRDefault="00F933AA" w:rsidP="00F933AA">
            <w:pPr>
              <w:rPr>
                <w:rFonts w:cs="Times New Roman"/>
                <w:lang w:val="fr-FR"/>
              </w:rPr>
            </w:pPr>
            <w:r>
              <w:rPr>
                <w:rFonts w:cs="Times New Roman"/>
                <w:lang w:val="fr-FR"/>
              </w:rPr>
              <w:t>Non, des processus pour gérer les métadonnées ne sont pas mis en place</w:t>
            </w:r>
          </w:p>
        </w:tc>
        <w:tc>
          <w:tcPr>
            <w:tcW w:w="2599" w:type="dxa"/>
          </w:tcPr>
          <w:p w:rsidR="00F933AA" w:rsidRPr="00086A2C" w:rsidRDefault="00F933AA" w:rsidP="00DD2D61">
            <w:pPr>
              <w:rPr>
                <w:rFonts w:cs="Times New Roman"/>
                <w:lang w:val="fr-FR"/>
              </w:rPr>
            </w:pPr>
          </w:p>
        </w:tc>
      </w:tr>
      <w:tr w:rsidR="00F933AA" w:rsidRPr="005077F3" w:rsidTr="00B93C61">
        <w:tc>
          <w:tcPr>
            <w:tcW w:w="2598" w:type="dxa"/>
            <w:vMerge w:val="restart"/>
          </w:tcPr>
          <w:p w:rsidR="00F933AA" w:rsidRPr="00086A2C" w:rsidRDefault="00F933AA" w:rsidP="00DD2D61">
            <w:pPr>
              <w:rPr>
                <w:rFonts w:cs="Times New Roman"/>
                <w:lang w:val="fr-FR"/>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§4.1.5</w:t>
            </w:r>
          </w:p>
        </w:tc>
        <w:tc>
          <w:tcPr>
            <w:tcW w:w="2599" w:type="dxa"/>
            <w:vMerge w:val="restart"/>
          </w:tcPr>
          <w:p w:rsidR="00F933AA" w:rsidRPr="00086A2C" w:rsidRDefault="00085EC8" w:rsidP="00085EC8">
            <w:pPr>
              <w:rPr>
                <w:rFonts w:cs="Times New Roman"/>
                <w:lang w:val="fr-FR"/>
              </w:rPr>
            </w:pPr>
            <w:r>
              <w:rPr>
                <w:rFonts w:cs="Times New Roman"/>
                <w:lang w:val="fr-FR"/>
              </w:rPr>
              <w:t>12</w:t>
            </w:r>
            <w:r w:rsidR="00F933AA">
              <w:rPr>
                <w:rFonts w:cs="Times New Roman"/>
                <w:lang w:val="fr-FR"/>
              </w:rPr>
              <w:t xml:space="preserve"> – IROG /</w:t>
            </w:r>
            <w:r w:rsidR="000F30AA">
              <w:rPr>
                <w:rFonts w:cs="Times New Roman"/>
                <w:lang w:val="fr-FR"/>
              </w:rPr>
              <w:t>BRDO</w:t>
            </w:r>
            <w:r w:rsidR="00F933AA">
              <w:rPr>
                <w:rFonts w:cs="Times New Roman"/>
                <w:lang w:val="fr-FR"/>
              </w:rPr>
              <w:t xml:space="preserve"> /NOC</w:t>
            </w:r>
          </w:p>
        </w:tc>
        <w:tc>
          <w:tcPr>
            <w:tcW w:w="2599" w:type="dxa"/>
            <w:vMerge w:val="restart"/>
          </w:tcPr>
          <w:p w:rsidR="00F933AA" w:rsidRPr="00086A2C" w:rsidRDefault="00F933AA" w:rsidP="000F30AA">
            <w:pPr>
              <w:rPr>
                <w:rFonts w:cs="Times New Roman"/>
                <w:lang w:val="fr-FR"/>
              </w:rPr>
            </w:pPr>
            <w:r>
              <w:rPr>
                <w:rFonts w:cs="Times New Roman"/>
                <w:lang w:val="fr-FR"/>
              </w:rPr>
              <w:t>Votre BR</w:t>
            </w:r>
            <w:r w:rsidR="000F30AA">
              <w:rPr>
                <w:rFonts w:cs="Times New Roman"/>
                <w:lang w:val="fr-FR"/>
              </w:rPr>
              <w:t>DO</w:t>
            </w:r>
            <w:r>
              <w:rPr>
                <w:rFonts w:cs="Times New Roman"/>
                <w:lang w:val="fr-FR"/>
              </w:rPr>
              <w:t xml:space="preserve"> a-t-elle documenté et mis en place un ensemble de requêtes normalisées pour les données IWXXM ?</w:t>
            </w:r>
          </w:p>
        </w:tc>
        <w:tc>
          <w:tcPr>
            <w:tcW w:w="3256" w:type="dxa"/>
          </w:tcPr>
          <w:p w:rsidR="00F933AA" w:rsidRDefault="00F933AA" w:rsidP="00DD2D61">
            <w:pPr>
              <w:rPr>
                <w:rFonts w:cs="Times New Roman"/>
                <w:lang w:val="fr-FR"/>
              </w:rPr>
            </w:pPr>
            <w:r>
              <w:rPr>
                <w:rFonts w:cs="Times New Roman"/>
                <w:lang w:val="fr-FR"/>
              </w:rPr>
              <w:t>Oui, un ensemble de requêtes normalisées pour les données IWXXM ? est mis en place</w:t>
            </w:r>
          </w:p>
        </w:tc>
        <w:tc>
          <w:tcPr>
            <w:tcW w:w="2599" w:type="dxa"/>
          </w:tcPr>
          <w:p w:rsidR="00F933AA" w:rsidRPr="00086A2C" w:rsidRDefault="00F933AA" w:rsidP="00DD2D61">
            <w:pPr>
              <w:rPr>
                <w:rFonts w:cs="Times New Roman"/>
                <w:lang w:val="fr-FR"/>
              </w:rPr>
            </w:pPr>
          </w:p>
        </w:tc>
      </w:tr>
      <w:tr w:rsidR="00F933AA" w:rsidRPr="005077F3" w:rsidTr="00B93C61">
        <w:tc>
          <w:tcPr>
            <w:tcW w:w="2598" w:type="dxa"/>
            <w:vMerge/>
          </w:tcPr>
          <w:p w:rsidR="00F933AA" w:rsidRPr="00086A2C" w:rsidRDefault="00F933AA" w:rsidP="00DD2D61">
            <w:pPr>
              <w:rPr>
                <w:rFonts w:cs="Times New Roman"/>
                <w:lang w:val="fr-FR"/>
              </w:rPr>
            </w:pPr>
          </w:p>
        </w:tc>
        <w:tc>
          <w:tcPr>
            <w:tcW w:w="2599" w:type="dxa"/>
            <w:vMerge/>
          </w:tcPr>
          <w:p w:rsidR="00F933AA" w:rsidRPr="00086A2C" w:rsidRDefault="00F933AA" w:rsidP="00DD2D61">
            <w:pPr>
              <w:rPr>
                <w:rFonts w:cs="Times New Roman"/>
                <w:lang w:val="fr-FR"/>
              </w:rPr>
            </w:pPr>
          </w:p>
        </w:tc>
        <w:tc>
          <w:tcPr>
            <w:tcW w:w="2599" w:type="dxa"/>
            <w:vMerge/>
          </w:tcPr>
          <w:p w:rsidR="00F933AA" w:rsidRPr="00086A2C" w:rsidRDefault="00F933AA" w:rsidP="00DD2D61">
            <w:pPr>
              <w:rPr>
                <w:rFonts w:cs="Times New Roman"/>
                <w:lang w:val="fr-FR"/>
              </w:rPr>
            </w:pPr>
          </w:p>
        </w:tc>
        <w:tc>
          <w:tcPr>
            <w:tcW w:w="3256" w:type="dxa"/>
          </w:tcPr>
          <w:p w:rsidR="00F933AA" w:rsidRDefault="00F933AA" w:rsidP="00DD2D61">
            <w:pPr>
              <w:rPr>
                <w:rFonts w:cs="Times New Roman"/>
                <w:lang w:val="fr-FR"/>
              </w:rPr>
            </w:pPr>
            <w:r>
              <w:rPr>
                <w:rFonts w:cs="Times New Roman"/>
                <w:lang w:val="fr-FR"/>
              </w:rPr>
              <w:t>Non, les requêtes IWXXM ne sont pas mises en œuvre</w:t>
            </w:r>
          </w:p>
        </w:tc>
        <w:tc>
          <w:tcPr>
            <w:tcW w:w="2599" w:type="dxa"/>
          </w:tcPr>
          <w:p w:rsidR="00F933AA" w:rsidRPr="00086A2C" w:rsidRDefault="00F933AA" w:rsidP="00DD2D61">
            <w:pPr>
              <w:rPr>
                <w:rFonts w:cs="Times New Roman"/>
                <w:lang w:val="fr-FR"/>
              </w:rPr>
            </w:pPr>
          </w:p>
        </w:tc>
      </w:tr>
      <w:tr w:rsidR="004A63FE" w:rsidRPr="005077F3" w:rsidTr="00B93C61">
        <w:tc>
          <w:tcPr>
            <w:tcW w:w="2598" w:type="dxa"/>
            <w:vMerge w:val="restart"/>
          </w:tcPr>
          <w:p w:rsidR="004A63FE" w:rsidRPr="00086A2C" w:rsidRDefault="004A63FE" w:rsidP="00F933AA">
            <w:pPr>
              <w:rPr>
                <w:rFonts w:cs="Times New Roman"/>
                <w:lang w:val="fr-FR"/>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§2.6, §2.7</w:t>
            </w:r>
          </w:p>
        </w:tc>
        <w:tc>
          <w:tcPr>
            <w:tcW w:w="2599" w:type="dxa"/>
            <w:vMerge w:val="restart"/>
          </w:tcPr>
          <w:p w:rsidR="004A63FE" w:rsidRPr="000E7F46" w:rsidRDefault="004A63FE" w:rsidP="00085EC8">
            <w:pPr>
              <w:rPr>
                <w:rFonts w:cs="Times New Roman"/>
              </w:rPr>
            </w:pPr>
            <w:r>
              <w:rPr>
                <w:rFonts w:cs="Times New Roman"/>
              </w:rPr>
              <w:t>13</w:t>
            </w:r>
            <w:r w:rsidRPr="000E7F46">
              <w:rPr>
                <w:rFonts w:cs="Times New Roman"/>
              </w:rPr>
              <w:t xml:space="preserve"> – IROG</w:t>
            </w:r>
            <w:r>
              <w:rPr>
                <w:rFonts w:cs="Times New Roman"/>
              </w:rPr>
              <w:t xml:space="preserve"> </w:t>
            </w:r>
            <w:r w:rsidRPr="000E7F46">
              <w:rPr>
                <w:rFonts w:cs="Times New Roman"/>
              </w:rPr>
              <w:t>/</w:t>
            </w:r>
            <w:r w:rsidR="000F30AA">
              <w:rPr>
                <w:rFonts w:cs="Times New Roman"/>
              </w:rPr>
              <w:t>BRDO</w:t>
            </w:r>
            <w:r>
              <w:rPr>
                <w:rFonts w:cs="Times New Roman"/>
              </w:rPr>
              <w:t xml:space="preserve"> </w:t>
            </w:r>
            <w:r w:rsidRPr="000E7F46">
              <w:rPr>
                <w:rFonts w:cs="Times New Roman"/>
              </w:rPr>
              <w:t>/NOC</w:t>
            </w:r>
          </w:p>
        </w:tc>
        <w:tc>
          <w:tcPr>
            <w:tcW w:w="2599" w:type="dxa"/>
            <w:vMerge w:val="restart"/>
          </w:tcPr>
          <w:p w:rsidR="004A63FE" w:rsidRPr="000E7F46" w:rsidRDefault="004A63FE" w:rsidP="00DD2D61">
            <w:pPr>
              <w:rPr>
                <w:rFonts w:cs="Times New Roman"/>
                <w:lang w:val="fr-SN"/>
              </w:rPr>
            </w:pPr>
            <w:r w:rsidRPr="000E7F46">
              <w:rPr>
                <w:rFonts w:cs="Times New Roman"/>
                <w:lang w:val="fr-SN"/>
              </w:rPr>
              <w:t xml:space="preserve">Votre ROC et IROG, ont-ils la capacité d’agréger et de commuter les données </w:t>
            </w:r>
            <w:r>
              <w:rPr>
                <w:rFonts w:cs="Times New Roman"/>
                <w:lang w:val="fr-SN"/>
              </w:rPr>
              <w:t>IWXXM ?</w:t>
            </w:r>
          </w:p>
        </w:tc>
        <w:tc>
          <w:tcPr>
            <w:tcW w:w="3256" w:type="dxa"/>
          </w:tcPr>
          <w:p w:rsidR="004A63FE" w:rsidRPr="000E7F46" w:rsidRDefault="004A63FE" w:rsidP="00DD2D61">
            <w:pPr>
              <w:rPr>
                <w:rFonts w:cs="Times New Roman"/>
                <w:lang w:val="fr-SN"/>
              </w:rPr>
            </w:pPr>
            <w:r>
              <w:rPr>
                <w:rFonts w:cs="Times New Roman"/>
                <w:lang w:val="fr-SN"/>
              </w:rPr>
              <w:t>Oui, les capacités d’agréger et de commuter les données IWXXM ont mises en œuvre par le ROC et le IROG correspondant</w:t>
            </w:r>
          </w:p>
        </w:tc>
        <w:tc>
          <w:tcPr>
            <w:tcW w:w="2599" w:type="dxa"/>
          </w:tcPr>
          <w:p w:rsidR="004A63FE" w:rsidRPr="000E7F46" w:rsidRDefault="004A63FE" w:rsidP="00DD2D61">
            <w:pPr>
              <w:rPr>
                <w:rFonts w:cs="Times New Roman"/>
                <w:lang w:val="fr-SN"/>
              </w:rPr>
            </w:pPr>
          </w:p>
        </w:tc>
      </w:tr>
      <w:tr w:rsidR="004A63FE" w:rsidRPr="005077F3" w:rsidTr="00B93C61">
        <w:tc>
          <w:tcPr>
            <w:tcW w:w="2598" w:type="dxa"/>
            <w:vMerge/>
          </w:tcPr>
          <w:p w:rsidR="004A63FE" w:rsidRPr="000E7F46" w:rsidRDefault="004A63FE" w:rsidP="00DD2D61">
            <w:pPr>
              <w:rPr>
                <w:rFonts w:cs="Times New Roman"/>
                <w:lang w:val="fr-SN"/>
              </w:rPr>
            </w:pPr>
          </w:p>
        </w:tc>
        <w:tc>
          <w:tcPr>
            <w:tcW w:w="2599" w:type="dxa"/>
            <w:vMerge/>
          </w:tcPr>
          <w:p w:rsidR="004A63FE" w:rsidRPr="000E7F46" w:rsidRDefault="004A63FE" w:rsidP="00DD2D61">
            <w:pPr>
              <w:rPr>
                <w:rFonts w:cs="Times New Roman"/>
                <w:lang w:val="fr-SN"/>
              </w:rPr>
            </w:pPr>
          </w:p>
        </w:tc>
        <w:tc>
          <w:tcPr>
            <w:tcW w:w="2599" w:type="dxa"/>
            <w:vMerge/>
          </w:tcPr>
          <w:p w:rsidR="004A63FE" w:rsidRPr="000E7F46" w:rsidRDefault="004A63FE" w:rsidP="00DD2D61">
            <w:pPr>
              <w:rPr>
                <w:rFonts w:cs="Times New Roman"/>
                <w:lang w:val="fr-SN"/>
              </w:rPr>
            </w:pPr>
          </w:p>
        </w:tc>
        <w:tc>
          <w:tcPr>
            <w:tcW w:w="3256" w:type="dxa"/>
          </w:tcPr>
          <w:p w:rsidR="004A63FE" w:rsidRPr="000E7F46" w:rsidRDefault="004A63FE" w:rsidP="000E7F46">
            <w:pPr>
              <w:rPr>
                <w:rFonts w:cs="Times New Roman"/>
                <w:lang w:val="fr-SN"/>
              </w:rPr>
            </w:pPr>
            <w:r>
              <w:rPr>
                <w:rFonts w:cs="Times New Roman"/>
                <w:lang w:val="fr-SN"/>
              </w:rPr>
              <w:t>Oui, les capacités d’agrégation et de commutation des données IWXXM n’ont mises en œuvre par le ROC et le IROG correspondant</w:t>
            </w:r>
          </w:p>
        </w:tc>
        <w:tc>
          <w:tcPr>
            <w:tcW w:w="2599" w:type="dxa"/>
          </w:tcPr>
          <w:p w:rsidR="004A63FE" w:rsidRPr="000E7F46" w:rsidRDefault="004A63FE" w:rsidP="00DD2D61">
            <w:pPr>
              <w:rPr>
                <w:rFonts w:cs="Times New Roman"/>
                <w:lang w:val="fr-SN"/>
              </w:rPr>
            </w:pPr>
          </w:p>
        </w:tc>
      </w:tr>
      <w:tr w:rsidR="00E9417D" w:rsidRPr="005077F3" w:rsidTr="00B93C61">
        <w:tc>
          <w:tcPr>
            <w:tcW w:w="2598" w:type="dxa"/>
            <w:vMerge w:val="restart"/>
          </w:tcPr>
          <w:p w:rsidR="00E9417D" w:rsidRPr="000E7F46" w:rsidRDefault="00E9417D" w:rsidP="000E7F46">
            <w:pPr>
              <w:rPr>
                <w:rFonts w:cs="Times New Roman"/>
                <w:lang w:val="fr-SN"/>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§5.3</w:t>
            </w:r>
          </w:p>
        </w:tc>
        <w:tc>
          <w:tcPr>
            <w:tcW w:w="2599" w:type="dxa"/>
            <w:vMerge w:val="restart"/>
          </w:tcPr>
          <w:p w:rsidR="00E9417D" w:rsidRPr="000E7F46" w:rsidRDefault="00085EC8" w:rsidP="00DD2D61">
            <w:pPr>
              <w:rPr>
                <w:rFonts w:cs="Times New Roman"/>
              </w:rPr>
            </w:pPr>
            <w:r>
              <w:rPr>
                <w:rFonts w:cs="Times New Roman"/>
              </w:rPr>
              <w:t>14</w:t>
            </w:r>
            <w:r w:rsidR="00E9417D" w:rsidRPr="000E7F46">
              <w:rPr>
                <w:rFonts w:cs="Times New Roman"/>
              </w:rPr>
              <w:t xml:space="preserve"> – IROG</w:t>
            </w:r>
            <w:r w:rsidR="00E9417D">
              <w:rPr>
                <w:rFonts w:cs="Times New Roman"/>
              </w:rPr>
              <w:t xml:space="preserve"> </w:t>
            </w:r>
            <w:r w:rsidR="00E9417D" w:rsidRPr="000E7F46">
              <w:rPr>
                <w:rFonts w:cs="Times New Roman"/>
              </w:rPr>
              <w:t>/</w:t>
            </w:r>
            <w:r w:rsidR="000F30AA">
              <w:rPr>
                <w:rFonts w:cs="Times New Roman"/>
              </w:rPr>
              <w:t>BRDO</w:t>
            </w:r>
            <w:r w:rsidR="00E9417D">
              <w:rPr>
                <w:rFonts w:cs="Times New Roman"/>
              </w:rPr>
              <w:t xml:space="preserve"> </w:t>
            </w:r>
            <w:r w:rsidR="00E9417D" w:rsidRPr="000E7F46">
              <w:rPr>
                <w:rFonts w:cs="Times New Roman"/>
              </w:rPr>
              <w:t>/NOC</w:t>
            </w:r>
          </w:p>
        </w:tc>
        <w:tc>
          <w:tcPr>
            <w:tcW w:w="2599" w:type="dxa"/>
            <w:vMerge w:val="restart"/>
          </w:tcPr>
          <w:p w:rsidR="00E9417D" w:rsidRPr="000E7F46" w:rsidRDefault="00E9417D" w:rsidP="000E7F46">
            <w:pPr>
              <w:rPr>
                <w:rFonts w:cs="Times New Roman"/>
                <w:lang w:val="fr-SN"/>
              </w:rPr>
            </w:pPr>
            <w:r w:rsidRPr="000E7F46">
              <w:rPr>
                <w:rFonts w:cs="Times New Roman"/>
                <w:lang w:val="fr-SN"/>
              </w:rPr>
              <w:t>Votre de Centre de T</w:t>
            </w:r>
            <w:r>
              <w:rPr>
                <w:rFonts w:cs="Times New Roman"/>
                <w:lang w:val="fr-SN"/>
              </w:rPr>
              <w:t>raduction, est-il une Unité externe, ou votre NOC, ROC et IROG ont la capacité de faire office de Centres de Traduction ?</w:t>
            </w:r>
          </w:p>
        </w:tc>
        <w:tc>
          <w:tcPr>
            <w:tcW w:w="3256" w:type="dxa"/>
          </w:tcPr>
          <w:p w:rsidR="00E9417D" w:rsidRPr="000E7F46" w:rsidRDefault="00E9417D" w:rsidP="00DD2D61">
            <w:pPr>
              <w:rPr>
                <w:rFonts w:cs="Times New Roman"/>
                <w:lang w:val="fr-SN"/>
              </w:rPr>
            </w:pPr>
            <w:r>
              <w:rPr>
                <w:rFonts w:cs="Times New Roman"/>
                <w:lang w:val="fr-SN"/>
              </w:rPr>
              <w:t>Oui, un Traducteur externe fourni aux NOC correspondants, les données au format IWXXM.</w:t>
            </w:r>
          </w:p>
        </w:tc>
        <w:tc>
          <w:tcPr>
            <w:tcW w:w="2599" w:type="dxa"/>
          </w:tcPr>
          <w:p w:rsidR="00E9417D" w:rsidRPr="000E7F46" w:rsidRDefault="00E9417D" w:rsidP="00DD2D61">
            <w:pPr>
              <w:rPr>
                <w:rFonts w:cs="Times New Roman"/>
                <w:lang w:val="fr-SN"/>
              </w:rPr>
            </w:pPr>
          </w:p>
        </w:tc>
      </w:tr>
      <w:tr w:rsidR="00E9417D" w:rsidRPr="005077F3" w:rsidTr="00B93C61">
        <w:tc>
          <w:tcPr>
            <w:tcW w:w="2598" w:type="dxa"/>
            <w:vMerge/>
          </w:tcPr>
          <w:p w:rsidR="00E9417D" w:rsidRPr="000E7F46" w:rsidRDefault="00E9417D" w:rsidP="00DD2D61">
            <w:pPr>
              <w:rPr>
                <w:rFonts w:cs="Times New Roman"/>
                <w:lang w:val="fr-SN"/>
              </w:rPr>
            </w:pPr>
          </w:p>
        </w:tc>
        <w:tc>
          <w:tcPr>
            <w:tcW w:w="2599" w:type="dxa"/>
            <w:vMerge/>
          </w:tcPr>
          <w:p w:rsidR="00E9417D" w:rsidRPr="000E7F46" w:rsidRDefault="00E9417D" w:rsidP="00DD2D61">
            <w:pPr>
              <w:rPr>
                <w:rFonts w:cs="Times New Roman"/>
                <w:lang w:val="fr-SN"/>
              </w:rPr>
            </w:pPr>
          </w:p>
        </w:tc>
        <w:tc>
          <w:tcPr>
            <w:tcW w:w="2599" w:type="dxa"/>
            <w:vMerge/>
          </w:tcPr>
          <w:p w:rsidR="00E9417D" w:rsidRPr="000E7F46" w:rsidRDefault="00E9417D" w:rsidP="00DD2D61">
            <w:pPr>
              <w:rPr>
                <w:rFonts w:cs="Times New Roman"/>
                <w:lang w:val="fr-SN"/>
              </w:rPr>
            </w:pPr>
          </w:p>
        </w:tc>
        <w:tc>
          <w:tcPr>
            <w:tcW w:w="3256" w:type="dxa"/>
          </w:tcPr>
          <w:p w:rsidR="00E9417D" w:rsidRPr="000E7F46" w:rsidRDefault="00E9417D" w:rsidP="00DD2D61">
            <w:pPr>
              <w:rPr>
                <w:rFonts w:cs="Times New Roman"/>
                <w:lang w:val="fr-SN"/>
              </w:rPr>
            </w:pPr>
            <w:r>
              <w:rPr>
                <w:rFonts w:cs="Times New Roman"/>
                <w:lang w:val="fr-SN"/>
              </w:rPr>
              <w:t>Oui, le NOC, ROC et IROG ont la capacité de faire office de Centres de Traduction </w:t>
            </w:r>
          </w:p>
        </w:tc>
        <w:tc>
          <w:tcPr>
            <w:tcW w:w="2599" w:type="dxa"/>
          </w:tcPr>
          <w:p w:rsidR="00E9417D" w:rsidRPr="000E7F46" w:rsidRDefault="00E9417D" w:rsidP="00DD2D61">
            <w:pPr>
              <w:rPr>
                <w:rFonts w:cs="Times New Roman"/>
                <w:lang w:val="fr-SN"/>
              </w:rPr>
            </w:pPr>
          </w:p>
        </w:tc>
      </w:tr>
      <w:tr w:rsidR="00C6090E" w:rsidRPr="005077F3" w:rsidTr="00B93C61">
        <w:tc>
          <w:tcPr>
            <w:tcW w:w="2598" w:type="dxa"/>
            <w:vMerge w:val="restart"/>
          </w:tcPr>
          <w:p w:rsidR="00C6090E" w:rsidRPr="000E7F46" w:rsidRDefault="00C6090E" w:rsidP="00E9417D">
            <w:pPr>
              <w:rPr>
                <w:rFonts w:cs="Times New Roman"/>
                <w:lang w:val="fr-SN"/>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§4.1.1</w:t>
            </w:r>
          </w:p>
        </w:tc>
        <w:tc>
          <w:tcPr>
            <w:tcW w:w="2599" w:type="dxa"/>
            <w:vMerge w:val="restart"/>
          </w:tcPr>
          <w:p w:rsidR="00C6090E" w:rsidRPr="00E9417D" w:rsidRDefault="00085EC8" w:rsidP="00DD2D61">
            <w:pPr>
              <w:rPr>
                <w:rFonts w:cs="Times New Roman"/>
              </w:rPr>
            </w:pPr>
            <w:r>
              <w:rPr>
                <w:rFonts w:cs="Times New Roman"/>
              </w:rPr>
              <w:t>15</w:t>
            </w:r>
            <w:r w:rsidR="00C6090E" w:rsidRPr="000E7F46">
              <w:rPr>
                <w:rFonts w:cs="Times New Roman"/>
              </w:rPr>
              <w:t xml:space="preserve"> – IROG</w:t>
            </w:r>
            <w:r w:rsidR="00C6090E">
              <w:rPr>
                <w:rFonts w:cs="Times New Roman"/>
              </w:rPr>
              <w:t xml:space="preserve"> </w:t>
            </w:r>
            <w:r w:rsidR="00C6090E" w:rsidRPr="000E7F46">
              <w:rPr>
                <w:rFonts w:cs="Times New Roman"/>
              </w:rPr>
              <w:t>/</w:t>
            </w:r>
            <w:r w:rsidR="000F30AA">
              <w:rPr>
                <w:rFonts w:cs="Times New Roman"/>
              </w:rPr>
              <w:t>BRDO</w:t>
            </w:r>
            <w:r w:rsidR="00C6090E">
              <w:rPr>
                <w:rFonts w:cs="Times New Roman"/>
              </w:rPr>
              <w:t xml:space="preserve"> </w:t>
            </w:r>
            <w:r w:rsidR="00C6090E" w:rsidRPr="000E7F46">
              <w:rPr>
                <w:rFonts w:cs="Times New Roman"/>
              </w:rPr>
              <w:t>/NOC</w:t>
            </w:r>
          </w:p>
        </w:tc>
        <w:tc>
          <w:tcPr>
            <w:tcW w:w="2599" w:type="dxa"/>
            <w:vMerge w:val="restart"/>
          </w:tcPr>
          <w:p w:rsidR="00C6090E" w:rsidRPr="00C6090E" w:rsidRDefault="004A63FE" w:rsidP="00DD2D61">
            <w:pPr>
              <w:rPr>
                <w:rFonts w:cs="Times New Roman"/>
                <w:lang w:val="fr-SN"/>
              </w:rPr>
            </w:pPr>
            <w:r>
              <w:rPr>
                <w:rFonts w:cs="Times New Roman"/>
                <w:lang w:val="fr-SN"/>
              </w:rPr>
              <w:t>Votre P</w:t>
            </w:r>
            <w:r w:rsidR="00C6090E" w:rsidRPr="00C6090E">
              <w:rPr>
                <w:rFonts w:cs="Times New Roman"/>
                <w:lang w:val="fr-SN"/>
              </w:rPr>
              <w:t xml:space="preserve">roducteur de données est-il capable de traduire les données </w:t>
            </w:r>
            <w:r w:rsidR="00C6090E">
              <w:rPr>
                <w:rFonts w:cs="Times New Roman"/>
                <w:lang w:val="fr-SN"/>
              </w:rPr>
              <w:t>OPMET du format TAC au format IWXXM ?</w:t>
            </w:r>
          </w:p>
        </w:tc>
        <w:tc>
          <w:tcPr>
            <w:tcW w:w="3256" w:type="dxa"/>
          </w:tcPr>
          <w:p w:rsidR="00C6090E" w:rsidRPr="00C6090E" w:rsidRDefault="00C6090E" w:rsidP="00DD2D61">
            <w:pPr>
              <w:rPr>
                <w:rFonts w:cs="Times New Roman"/>
                <w:lang w:val="fr-SN"/>
              </w:rPr>
            </w:pPr>
            <w:r>
              <w:rPr>
                <w:rFonts w:cs="Times New Roman"/>
                <w:lang w:val="fr-SN"/>
              </w:rPr>
              <w:t>Oui, le Producteur de données a la capacité de convertir les données OPMET du TAC au format IWXXM</w:t>
            </w:r>
          </w:p>
        </w:tc>
        <w:tc>
          <w:tcPr>
            <w:tcW w:w="2599" w:type="dxa"/>
          </w:tcPr>
          <w:p w:rsidR="00C6090E" w:rsidRPr="00C6090E" w:rsidRDefault="00C6090E" w:rsidP="00DD2D61">
            <w:pPr>
              <w:rPr>
                <w:rFonts w:cs="Times New Roman"/>
                <w:lang w:val="fr-SN"/>
              </w:rPr>
            </w:pPr>
          </w:p>
        </w:tc>
      </w:tr>
      <w:tr w:rsidR="00C6090E" w:rsidRPr="005077F3" w:rsidTr="00B93C61">
        <w:tc>
          <w:tcPr>
            <w:tcW w:w="2598" w:type="dxa"/>
            <w:vMerge/>
          </w:tcPr>
          <w:p w:rsidR="00C6090E" w:rsidRPr="00C6090E" w:rsidRDefault="00C6090E" w:rsidP="00DD2D61">
            <w:pPr>
              <w:rPr>
                <w:rFonts w:cs="Times New Roman"/>
                <w:lang w:val="fr-SN"/>
              </w:rPr>
            </w:pPr>
          </w:p>
        </w:tc>
        <w:tc>
          <w:tcPr>
            <w:tcW w:w="2599" w:type="dxa"/>
            <w:vMerge/>
          </w:tcPr>
          <w:p w:rsidR="00C6090E" w:rsidRPr="00C6090E" w:rsidRDefault="00C6090E" w:rsidP="00DD2D61">
            <w:pPr>
              <w:rPr>
                <w:rFonts w:cs="Times New Roman"/>
                <w:lang w:val="fr-SN"/>
              </w:rPr>
            </w:pPr>
          </w:p>
        </w:tc>
        <w:tc>
          <w:tcPr>
            <w:tcW w:w="2599" w:type="dxa"/>
            <w:vMerge/>
          </w:tcPr>
          <w:p w:rsidR="00C6090E" w:rsidRPr="00C6090E" w:rsidRDefault="00C6090E" w:rsidP="00DD2D61">
            <w:pPr>
              <w:rPr>
                <w:rFonts w:cs="Times New Roman"/>
                <w:lang w:val="fr-SN"/>
              </w:rPr>
            </w:pPr>
          </w:p>
        </w:tc>
        <w:tc>
          <w:tcPr>
            <w:tcW w:w="3256" w:type="dxa"/>
          </w:tcPr>
          <w:p w:rsidR="00C6090E" w:rsidRPr="00C6090E" w:rsidRDefault="00C6090E" w:rsidP="00C6090E">
            <w:pPr>
              <w:rPr>
                <w:rFonts w:cs="Times New Roman"/>
                <w:lang w:val="fr-SN"/>
              </w:rPr>
            </w:pPr>
            <w:r>
              <w:rPr>
                <w:rFonts w:cs="Times New Roman"/>
                <w:lang w:val="fr-SN"/>
              </w:rPr>
              <w:t>Non, un Traducteur externe est utilisé pour convertir les données OPMET du TAC au format IWXXM</w:t>
            </w:r>
          </w:p>
        </w:tc>
        <w:tc>
          <w:tcPr>
            <w:tcW w:w="2599" w:type="dxa"/>
          </w:tcPr>
          <w:p w:rsidR="00C6090E" w:rsidRPr="00C6090E" w:rsidRDefault="00C6090E" w:rsidP="00DD2D61">
            <w:pPr>
              <w:rPr>
                <w:rFonts w:cs="Times New Roman"/>
                <w:lang w:val="fr-SN"/>
              </w:rPr>
            </w:pPr>
          </w:p>
        </w:tc>
      </w:tr>
      <w:tr w:rsidR="0064731D" w:rsidRPr="00C6090E" w:rsidTr="00B93C61">
        <w:tc>
          <w:tcPr>
            <w:tcW w:w="2598" w:type="dxa"/>
            <w:vMerge w:val="restart"/>
          </w:tcPr>
          <w:p w:rsidR="0064731D" w:rsidRPr="00C6090E" w:rsidRDefault="0064731D" w:rsidP="00C6090E">
            <w:pPr>
              <w:rPr>
                <w:rFonts w:cs="Times New Roman"/>
                <w:lang w:val="fr-SN"/>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§2.5, §5.3</w:t>
            </w:r>
          </w:p>
        </w:tc>
        <w:tc>
          <w:tcPr>
            <w:tcW w:w="2599" w:type="dxa"/>
            <w:vMerge w:val="restart"/>
          </w:tcPr>
          <w:p w:rsidR="0064731D" w:rsidRPr="00C6090E" w:rsidRDefault="00085EC8" w:rsidP="00085EC8">
            <w:pPr>
              <w:rPr>
                <w:rFonts w:cs="Times New Roman"/>
              </w:rPr>
            </w:pPr>
            <w:r>
              <w:rPr>
                <w:rFonts w:cs="Times New Roman"/>
              </w:rPr>
              <w:t>16</w:t>
            </w:r>
            <w:r w:rsidR="0064731D" w:rsidRPr="000E7F46">
              <w:rPr>
                <w:rFonts w:cs="Times New Roman"/>
              </w:rPr>
              <w:t xml:space="preserve"> – IROG</w:t>
            </w:r>
            <w:r w:rsidR="0064731D">
              <w:rPr>
                <w:rFonts w:cs="Times New Roman"/>
              </w:rPr>
              <w:t xml:space="preserve"> </w:t>
            </w:r>
            <w:r w:rsidR="0064731D" w:rsidRPr="000E7F46">
              <w:rPr>
                <w:rFonts w:cs="Times New Roman"/>
              </w:rPr>
              <w:t>/</w:t>
            </w:r>
            <w:r w:rsidR="000F30AA">
              <w:rPr>
                <w:rFonts w:cs="Times New Roman"/>
              </w:rPr>
              <w:t>BRDO</w:t>
            </w:r>
            <w:r w:rsidR="0064731D">
              <w:rPr>
                <w:rFonts w:cs="Times New Roman"/>
              </w:rPr>
              <w:t xml:space="preserve"> </w:t>
            </w:r>
            <w:r w:rsidR="0064731D" w:rsidRPr="000E7F46">
              <w:rPr>
                <w:rFonts w:cs="Times New Roman"/>
              </w:rPr>
              <w:t>/NOC</w:t>
            </w:r>
          </w:p>
        </w:tc>
        <w:tc>
          <w:tcPr>
            <w:tcW w:w="2599" w:type="dxa"/>
            <w:vMerge w:val="restart"/>
          </w:tcPr>
          <w:p w:rsidR="0064731D" w:rsidRPr="00C6090E" w:rsidRDefault="0064731D" w:rsidP="00DD2D61">
            <w:pPr>
              <w:rPr>
                <w:rFonts w:cs="Times New Roman"/>
                <w:lang w:val="fr-SN"/>
              </w:rPr>
            </w:pPr>
            <w:r w:rsidRPr="00C6090E">
              <w:rPr>
                <w:rFonts w:cs="Times New Roman"/>
                <w:lang w:val="fr-SN"/>
              </w:rPr>
              <w:t>Votre NOC, est-il pr</w:t>
            </w:r>
            <w:r>
              <w:rPr>
                <w:rFonts w:cs="Times New Roman"/>
                <w:lang w:val="fr-SN"/>
              </w:rPr>
              <w:t>êt pour échanger les données OPMET au format IWXXM ?</w:t>
            </w:r>
          </w:p>
        </w:tc>
        <w:tc>
          <w:tcPr>
            <w:tcW w:w="3256" w:type="dxa"/>
          </w:tcPr>
          <w:p w:rsidR="0064731D" w:rsidRPr="00C6090E" w:rsidRDefault="0064731D" w:rsidP="00DD2D61">
            <w:pPr>
              <w:rPr>
                <w:rFonts w:cs="Times New Roman"/>
                <w:lang w:val="fr-SN"/>
              </w:rPr>
            </w:pPr>
            <w:r>
              <w:rPr>
                <w:rFonts w:cs="Times New Roman"/>
                <w:lang w:val="fr-SN"/>
              </w:rPr>
              <w:t>Oui .</w:t>
            </w:r>
          </w:p>
        </w:tc>
        <w:tc>
          <w:tcPr>
            <w:tcW w:w="2599" w:type="dxa"/>
          </w:tcPr>
          <w:p w:rsidR="0064731D" w:rsidRPr="00C6090E" w:rsidRDefault="0064731D" w:rsidP="00DD2D61">
            <w:pPr>
              <w:rPr>
                <w:rFonts w:cs="Times New Roman"/>
                <w:lang w:val="fr-SN"/>
              </w:rPr>
            </w:pPr>
          </w:p>
        </w:tc>
      </w:tr>
      <w:tr w:rsidR="0064731D" w:rsidRPr="005077F3" w:rsidTr="00B93C61">
        <w:tc>
          <w:tcPr>
            <w:tcW w:w="2598" w:type="dxa"/>
            <w:vMerge/>
          </w:tcPr>
          <w:p w:rsidR="0064731D" w:rsidRPr="00C6090E" w:rsidRDefault="0064731D" w:rsidP="00DD2D61">
            <w:pPr>
              <w:rPr>
                <w:rFonts w:cs="Times New Roman"/>
                <w:lang w:val="fr-SN"/>
              </w:rPr>
            </w:pPr>
          </w:p>
        </w:tc>
        <w:tc>
          <w:tcPr>
            <w:tcW w:w="2599" w:type="dxa"/>
            <w:vMerge/>
          </w:tcPr>
          <w:p w:rsidR="0064731D" w:rsidRPr="00C6090E" w:rsidRDefault="0064731D" w:rsidP="00DD2D61">
            <w:pPr>
              <w:rPr>
                <w:rFonts w:cs="Times New Roman"/>
                <w:lang w:val="fr-SN"/>
              </w:rPr>
            </w:pPr>
          </w:p>
        </w:tc>
        <w:tc>
          <w:tcPr>
            <w:tcW w:w="2599" w:type="dxa"/>
            <w:vMerge/>
          </w:tcPr>
          <w:p w:rsidR="0064731D" w:rsidRPr="00C6090E" w:rsidRDefault="0064731D" w:rsidP="00DD2D61">
            <w:pPr>
              <w:rPr>
                <w:rFonts w:cs="Times New Roman"/>
                <w:lang w:val="fr-SN"/>
              </w:rPr>
            </w:pPr>
          </w:p>
        </w:tc>
        <w:tc>
          <w:tcPr>
            <w:tcW w:w="3256" w:type="dxa"/>
          </w:tcPr>
          <w:p w:rsidR="0064731D" w:rsidRPr="00C6090E" w:rsidRDefault="0064731D" w:rsidP="00DD2D61">
            <w:pPr>
              <w:rPr>
                <w:rFonts w:cs="Times New Roman"/>
                <w:lang w:val="fr-SN"/>
              </w:rPr>
            </w:pPr>
            <w:r>
              <w:rPr>
                <w:rFonts w:cs="Times New Roman"/>
                <w:lang w:val="fr-SN"/>
              </w:rPr>
              <w:t>Non, le NOC n’est pas à mesure d’échanger les données OPMET au format IWXXM.</w:t>
            </w:r>
          </w:p>
        </w:tc>
        <w:tc>
          <w:tcPr>
            <w:tcW w:w="2599" w:type="dxa"/>
          </w:tcPr>
          <w:p w:rsidR="0064731D" w:rsidRPr="00C6090E" w:rsidRDefault="0064731D" w:rsidP="00DD2D61">
            <w:pPr>
              <w:rPr>
                <w:rFonts w:cs="Times New Roman"/>
                <w:lang w:val="fr-SN"/>
              </w:rPr>
            </w:pPr>
          </w:p>
        </w:tc>
      </w:tr>
      <w:tr w:rsidR="00A70BA0" w:rsidRPr="005077F3" w:rsidTr="00B93C61">
        <w:tc>
          <w:tcPr>
            <w:tcW w:w="2598" w:type="dxa"/>
            <w:vMerge w:val="restart"/>
          </w:tcPr>
          <w:p w:rsidR="00A70BA0" w:rsidRPr="00C6090E" w:rsidRDefault="00A70BA0" w:rsidP="00DB1B64">
            <w:pPr>
              <w:rPr>
                <w:rFonts w:cs="Times New Roman"/>
                <w:lang w:val="fr-SN"/>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§6.1.1</w:t>
            </w:r>
          </w:p>
        </w:tc>
        <w:tc>
          <w:tcPr>
            <w:tcW w:w="2599" w:type="dxa"/>
            <w:vMerge w:val="restart"/>
          </w:tcPr>
          <w:p w:rsidR="00A70BA0" w:rsidRPr="00C6090E" w:rsidRDefault="00A70BA0" w:rsidP="00085EC8">
            <w:pPr>
              <w:rPr>
                <w:rFonts w:cs="Times New Roman"/>
                <w:lang w:val="fr-SN"/>
              </w:rPr>
            </w:pPr>
            <w:r>
              <w:rPr>
                <w:rFonts w:cs="Times New Roman"/>
                <w:lang w:val="fr-SN"/>
              </w:rPr>
              <w:t>1</w:t>
            </w:r>
            <w:r w:rsidR="00085EC8">
              <w:rPr>
                <w:rFonts w:cs="Times New Roman"/>
                <w:lang w:val="fr-SN"/>
              </w:rPr>
              <w:t>7</w:t>
            </w:r>
            <w:r>
              <w:rPr>
                <w:rFonts w:cs="Times New Roman"/>
                <w:lang w:val="fr-SN"/>
              </w:rPr>
              <w:t xml:space="preserve"> - Gérer la transition vers le format IWXXM</w:t>
            </w:r>
          </w:p>
        </w:tc>
        <w:tc>
          <w:tcPr>
            <w:tcW w:w="2599" w:type="dxa"/>
            <w:vMerge w:val="restart"/>
          </w:tcPr>
          <w:p w:rsidR="00A70BA0" w:rsidRPr="00C6090E" w:rsidRDefault="00A70BA0" w:rsidP="00DD2D61">
            <w:pPr>
              <w:rPr>
                <w:rFonts w:cs="Times New Roman"/>
                <w:lang w:val="fr-SN"/>
              </w:rPr>
            </w:pPr>
            <w:r>
              <w:rPr>
                <w:rFonts w:cs="Times New Roman"/>
                <w:lang w:val="fr-SN"/>
              </w:rPr>
              <w:t>Existe-t-il u plan inter-régional pour l’implémentation de l’infrastructure AMHS et l’échange des données IWXXM entre le ROC de Toulouse et votre BRDO (Dakar et Prétoria) ?</w:t>
            </w:r>
          </w:p>
        </w:tc>
        <w:tc>
          <w:tcPr>
            <w:tcW w:w="3256" w:type="dxa"/>
          </w:tcPr>
          <w:p w:rsidR="00A70BA0" w:rsidRPr="00C6090E" w:rsidRDefault="00A70BA0" w:rsidP="00DD2D61">
            <w:pPr>
              <w:rPr>
                <w:rFonts w:cs="Times New Roman"/>
                <w:lang w:val="fr-SN"/>
              </w:rPr>
            </w:pPr>
            <w:r>
              <w:rPr>
                <w:rFonts w:cs="Times New Roman"/>
                <w:lang w:val="fr-SN"/>
              </w:rPr>
              <w:t>Oui, un plan inter-régional pour coordonner la transition vers l’IWXXM est établi entre le ROC de Toulouse et la BRDO (Dakar et/ou Pretoria)</w:t>
            </w:r>
          </w:p>
        </w:tc>
        <w:tc>
          <w:tcPr>
            <w:tcW w:w="2599" w:type="dxa"/>
          </w:tcPr>
          <w:p w:rsidR="00A70BA0" w:rsidRPr="00C6090E" w:rsidRDefault="00A70BA0" w:rsidP="00DD2D61">
            <w:pPr>
              <w:rPr>
                <w:rFonts w:cs="Times New Roman"/>
                <w:lang w:val="fr-SN"/>
              </w:rPr>
            </w:pPr>
          </w:p>
        </w:tc>
      </w:tr>
      <w:tr w:rsidR="00A70BA0" w:rsidRPr="005077F3" w:rsidTr="00B93C61">
        <w:tc>
          <w:tcPr>
            <w:tcW w:w="2598" w:type="dxa"/>
            <w:vMerge/>
          </w:tcPr>
          <w:p w:rsidR="00A70BA0" w:rsidRPr="00C6090E" w:rsidRDefault="00A70BA0" w:rsidP="00DD2D61">
            <w:pPr>
              <w:rPr>
                <w:rFonts w:cs="Times New Roman"/>
                <w:lang w:val="fr-SN"/>
              </w:rPr>
            </w:pPr>
          </w:p>
        </w:tc>
        <w:tc>
          <w:tcPr>
            <w:tcW w:w="2599" w:type="dxa"/>
            <w:vMerge/>
          </w:tcPr>
          <w:p w:rsidR="00A70BA0" w:rsidRPr="00C6090E" w:rsidRDefault="00A70BA0" w:rsidP="00DD2D61">
            <w:pPr>
              <w:rPr>
                <w:rFonts w:cs="Times New Roman"/>
                <w:lang w:val="fr-SN"/>
              </w:rPr>
            </w:pPr>
          </w:p>
        </w:tc>
        <w:tc>
          <w:tcPr>
            <w:tcW w:w="2599" w:type="dxa"/>
            <w:vMerge/>
          </w:tcPr>
          <w:p w:rsidR="00A70BA0" w:rsidRPr="00C6090E" w:rsidRDefault="00A70BA0" w:rsidP="00DD2D61">
            <w:pPr>
              <w:rPr>
                <w:rFonts w:cs="Times New Roman"/>
                <w:lang w:val="fr-SN"/>
              </w:rPr>
            </w:pPr>
          </w:p>
        </w:tc>
        <w:tc>
          <w:tcPr>
            <w:tcW w:w="3256" w:type="dxa"/>
          </w:tcPr>
          <w:p w:rsidR="00A70BA0" w:rsidRPr="00C6090E" w:rsidRDefault="00A70BA0" w:rsidP="00DD2D61">
            <w:pPr>
              <w:rPr>
                <w:rFonts w:cs="Times New Roman"/>
                <w:lang w:val="fr-SN"/>
              </w:rPr>
            </w:pPr>
            <w:r>
              <w:rPr>
                <w:rFonts w:cs="Times New Roman"/>
                <w:lang w:val="fr-SN"/>
              </w:rPr>
              <w:t>Non, il n’existe pas de plan inter-régional pour coordonner la mie en œuvre du IWXXM.</w:t>
            </w:r>
          </w:p>
        </w:tc>
        <w:tc>
          <w:tcPr>
            <w:tcW w:w="2599" w:type="dxa"/>
          </w:tcPr>
          <w:p w:rsidR="00A70BA0" w:rsidRPr="00C6090E" w:rsidRDefault="00A70BA0" w:rsidP="00DD2D61">
            <w:pPr>
              <w:rPr>
                <w:rFonts w:cs="Times New Roman"/>
                <w:lang w:val="fr-SN"/>
              </w:rPr>
            </w:pPr>
          </w:p>
        </w:tc>
      </w:tr>
      <w:tr w:rsidR="00A70BA0" w:rsidRPr="005077F3" w:rsidTr="00B93C61">
        <w:tc>
          <w:tcPr>
            <w:tcW w:w="2598" w:type="dxa"/>
            <w:vMerge w:val="restart"/>
          </w:tcPr>
          <w:p w:rsidR="00A70BA0" w:rsidRPr="00C6090E" w:rsidRDefault="00A70BA0" w:rsidP="00A70BA0">
            <w:pPr>
              <w:rPr>
                <w:rFonts w:cs="Times New Roman"/>
                <w:lang w:val="fr-SN"/>
              </w:rPr>
            </w:pPr>
            <w:r>
              <w:rPr>
                <w:rFonts w:cs="Times New Roman"/>
                <w:b/>
                <w:szCs w:val="24"/>
                <w:lang w:val="en-GB"/>
              </w:rPr>
              <w:t>Directive OAC</w:t>
            </w:r>
            <w:r w:rsidRPr="00584A3D">
              <w:rPr>
                <w:rFonts w:cs="Times New Roman"/>
                <w:b/>
                <w:szCs w:val="24"/>
                <w:lang w:val="en-GB"/>
              </w:rPr>
              <w:t>I IWXXM</w:t>
            </w:r>
            <w:r>
              <w:rPr>
                <w:rFonts w:cs="Times New Roman"/>
                <w:b/>
                <w:szCs w:val="24"/>
                <w:lang w:val="en-GB"/>
              </w:rPr>
              <w:t>: §6.1.1</w:t>
            </w:r>
          </w:p>
        </w:tc>
        <w:tc>
          <w:tcPr>
            <w:tcW w:w="2599" w:type="dxa"/>
            <w:vMerge w:val="restart"/>
          </w:tcPr>
          <w:p w:rsidR="00A70BA0" w:rsidRPr="00C6090E" w:rsidRDefault="00085EC8" w:rsidP="00085EC8">
            <w:pPr>
              <w:rPr>
                <w:rFonts w:cs="Times New Roman"/>
                <w:lang w:val="fr-SN"/>
              </w:rPr>
            </w:pPr>
            <w:r>
              <w:rPr>
                <w:rFonts w:cs="Times New Roman"/>
                <w:lang w:val="fr-SN"/>
              </w:rPr>
              <w:t>18</w:t>
            </w:r>
            <w:r w:rsidR="00A70BA0">
              <w:rPr>
                <w:rFonts w:cs="Times New Roman"/>
                <w:lang w:val="fr-SN"/>
              </w:rPr>
              <w:t xml:space="preserve"> - Gérer la transition vers le format IWXXM</w:t>
            </w:r>
          </w:p>
        </w:tc>
        <w:tc>
          <w:tcPr>
            <w:tcW w:w="2599" w:type="dxa"/>
            <w:vMerge w:val="restart"/>
          </w:tcPr>
          <w:p w:rsidR="00A70BA0" w:rsidRPr="00C6090E" w:rsidRDefault="00A70BA0" w:rsidP="00A70BA0">
            <w:pPr>
              <w:rPr>
                <w:rFonts w:cs="Times New Roman"/>
                <w:lang w:val="fr-SN"/>
              </w:rPr>
            </w:pPr>
            <w:r>
              <w:rPr>
                <w:rFonts w:cs="Times New Roman"/>
                <w:lang w:val="fr-SN"/>
              </w:rPr>
              <w:t>Existe-il un accord définissant comment la plateforme d’essai et le logiciel doivent être mis à disposition et accessible à chaque Etat ?</w:t>
            </w:r>
          </w:p>
        </w:tc>
        <w:tc>
          <w:tcPr>
            <w:tcW w:w="3256" w:type="dxa"/>
          </w:tcPr>
          <w:p w:rsidR="00A70BA0" w:rsidRPr="00C6090E" w:rsidRDefault="00A70BA0" w:rsidP="00A70BA0">
            <w:pPr>
              <w:rPr>
                <w:rFonts w:cs="Times New Roman"/>
                <w:lang w:val="fr-SN"/>
              </w:rPr>
            </w:pPr>
            <w:r>
              <w:rPr>
                <w:rFonts w:cs="Times New Roman"/>
                <w:lang w:val="fr-SN"/>
              </w:rPr>
              <w:t>Oui, un accord portant sur la plateforme s’essai existe et est accessible aux Etats.</w:t>
            </w:r>
          </w:p>
        </w:tc>
        <w:tc>
          <w:tcPr>
            <w:tcW w:w="2599" w:type="dxa"/>
          </w:tcPr>
          <w:p w:rsidR="00A70BA0" w:rsidRPr="00C6090E" w:rsidRDefault="00A70BA0" w:rsidP="00A70BA0">
            <w:pPr>
              <w:rPr>
                <w:rFonts w:cs="Times New Roman"/>
                <w:lang w:val="fr-SN"/>
              </w:rPr>
            </w:pPr>
          </w:p>
        </w:tc>
      </w:tr>
      <w:tr w:rsidR="00A70BA0" w:rsidRPr="005077F3" w:rsidTr="00B93C61">
        <w:tc>
          <w:tcPr>
            <w:tcW w:w="2598" w:type="dxa"/>
            <w:vMerge/>
          </w:tcPr>
          <w:p w:rsidR="00A70BA0" w:rsidRPr="00C6090E" w:rsidRDefault="00A70BA0" w:rsidP="00A70BA0">
            <w:pPr>
              <w:rPr>
                <w:rFonts w:cs="Times New Roman"/>
                <w:lang w:val="fr-SN"/>
              </w:rPr>
            </w:pPr>
          </w:p>
        </w:tc>
        <w:tc>
          <w:tcPr>
            <w:tcW w:w="2599" w:type="dxa"/>
            <w:vMerge/>
          </w:tcPr>
          <w:p w:rsidR="00A70BA0" w:rsidRPr="00C6090E" w:rsidRDefault="00A70BA0" w:rsidP="00A70BA0">
            <w:pPr>
              <w:rPr>
                <w:rFonts w:cs="Times New Roman"/>
                <w:lang w:val="fr-SN"/>
              </w:rPr>
            </w:pPr>
          </w:p>
        </w:tc>
        <w:tc>
          <w:tcPr>
            <w:tcW w:w="2599" w:type="dxa"/>
            <w:vMerge/>
          </w:tcPr>
          <w:p w:rsidR="00A70BA0" w:rsidRPr="00C6090E" w:rsidRDefault="00A70BA0" w:rsidP="00A70BA0">
            <w:pPr>
              <w:rPr>
                <w:rFonts w:cs="Times New Roman"/>
                <w:lang w:val="fr-SN"/>
              </w:rPr>
            </w:pPr>
          </w:p>
        </w:tc>
        <w:tc>
          <w:tcPr>
            <w:tcW w:w="3256" w:type="dxa"/>
          </w:tcPr>
          <w:p w:rsidR="00A70BA0" w:rsidRPr="00C6090E" w:rsidRDefault="00A70BA0" w:rsidP="00A70BA0">
            <w:pPr>
              <w:rPr>
                <w:rFonts w:cs="Times New Roman"/>
                <w:lang w:val="fr-SN"/>
              </w:rPr>
            </w:pPr>
            <w:r>
              <w:rPr>
                <w:rFonts w:cs="Times New Roman"/>
                <w:lang w:val="fr-SN"/>
              </w:rPr>
              <w:t>Non, il n’y a pas d’accord traitant de la plateforme d’essai</w:t>
            </w:r>
          </w:p>
        </w:tc>
        <w:tc>
          <w:tcPr>
            <w:tcW w:w="2599" w:type="dxa"/>
          </w:tcPr>
          <w:p w:rsidR="00A70BA0" w:rsidRPr="00C6090E" w:rsidRDefault="00A70BA0" w:rsidP="00A70BA0">
            <w:pPr>
              <w:rPr>
                <w:rFonts w:cs="Times New Roman"/>
                <w:lang w:val="fr-SN"/>
              </w:rPr>
            </w:pPr>
          </w:p>
        </w:tc>
      </w:tr>
      <w:tr w:rsidR="00A943C5" w:rsidRPr="005077F3" w:rsidTr="00B93C61">
        <w:tc>
          <w:tcPr>
            <w:tcW w:w="2598" w:type="dxa"/>
            <w:vMerge w:val="restart"/>
          </w:tcPr>
          <w:p w:rsidR="00A943C5" w:rsidRPr="00C6090E" w:rsidRDefault="00A943C5" w:rsidP="00A70BA0">
            <w:pPr>
              <w:rPr>
                <w:rFonts w:cs="Times New Roman"/>
                <w:lang w:val="fr-SN"/>
              </w:rPr>
            </w:pPr>
            <w:r>
              <w:rPr>
                <w:rFonts w:cs="Times New Roman"/>
                <w:lang w:val="fr-SN"/>
              </w:rPr>
              <w:t>-</w:t>
            </w:r>
          </w:p>
        </w:tc>
        <w:tc>
          <w:tcPr>
            <w:tcW w:w="2599" w:type="dxa"/>
            <w:vMerge w:val="restart"/>
          </w:tcPr>
          <w:p w:rsidR="00A943C5" w:rsidRPr="00C6090E" w:rsidRDefault="00085EC8" w:rsidP="00A70BA0">
            <w:pPr>
              <w:rPr>
                <w:rFonts w:cs="Times New Roman"/>
                <w:lang w:val="fr-SN"/>
              </w:rPr>
            </w:pPr>
            <w:r>
              <w:rPr>
                <w:rFonts w:cs="Times New Roman"/>
                <w:lang w:val="fr-SN"/>
              </w:rPr>
              <w:t>19</w:t>
            </w:r>
            <w:r w:rsidR="00B053EC">
              <w:rPr>
                <w:rFonts w:cs="Times New Roman"/>
                <w:lang w:val="fr-SN"/>
              </w:rPr>
              <w:t xml:space="preserve"> - Que faire pour assister l’Etat ?</w:t>
            </w:r>
          </w:p>
        </w:tc>
        <w:tc>
          <w:tcPr>
            <w:tcW w:w="2599" w:type="dxa"/>
            <w:vMerge w:val="restart"/>
          </w:tcPr>
          <w:p w:rsidR="00A943C5" w:rsidRPr="00C6090E" w:rsidRDefault="00A943C5" w:rsidP="00A70BA0">
            <w:pPr>
              <w:rPr>
                <w:rFonts w:cs="Times New Roman"/>
                <w:lang w:val="fr-SN"/>
              </w:rPr>
            </w:pPr>
            <w:r>
              <w:rPr>
                <w:rFonts w:cs="Times New Roman"/>
                <w:lang w:val="fr-SN"/>
              </w:rPr>
              <w:t>Que faut-il faire pour aider votre Administration à accélérer la mise en œuvre du format de données IWXXM ?</w:t>
            </w:r>
          </w:p>
        </w:tc>
        <w:tc>
          <w:tcPr>
            <w:tcW w:w="3256" w:type="dxa"/>
          </w:tcPr>
          <w:p w:rsidR="00A943C5" w:rsidRDefault="00A943C5" w:rsidP="00A70BA0">
            <w:pPr>
              <w:rPr>
                <w:rFonts w:cs="Times New Roman"/>
                <w:lang w:val="fr-SN"/>
              </w:rPr>
            </w:pPr>
            <w:r>
              <w:rPr>
                <w:rFonts w:cs="Times New Roman"/>
                <w:lang w:val="fr-SN"/>
              </w:rPr>
              <w:t>Établir une coordination entre les BRDO et les BCC correspondants</w:t>
            </w:r>
          </w:p>
        </w:tc>
        <w:tc>
          <w:tcPr>
            <w:tcW w:w="2599" w:type="dxa"/>
          </w:tcPr>
          <w:p w:rsidR="00A943C5" w:rsidRPr="00C6090E" w:rsidRDefault="00A943C5" w:rsidP="00A70BA0">
            <w:pPr>
              <w:rPr>
                <w:rFonts w:cs="Times New Roman"/>
                <w:lang w:val="fr-SN"/>
              </w:rPr>
            </w:pPr>
          </w:p>
        </w:tc>
      </w:tr>
      <w:tr w:rsidR="00A943C5" w:rsidRPr="005077F3" w:rsidTr="00B93C61">
        <w:tc>
          <w:tcPr>
            <w:tcW w:w="2598"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3256" w:type="dxa"/>
          </w:tcPr>
          <w:p w:rsidR="00A943C5" w:rsidRDefault="00A943C5" w:rsidP="00A943C5">
            <w:pPr>
              <w:rPr>
                <w:rFonts w:cs="Times New Roman"/>
                <w:lang w:val="fr-SN"/>
              </w:rPr>
            </w:pPr>
            <w:r>
              <w:rPr>
                <w:rFonts w:cs="Times New Roman"/>
                <w:lang w:val="fr-SN"/>
              </w:rPr>
              <w:t>Établir une coordination entre les NOC et les BCC correspondants</w:t>
            </w:r>
          </w:p>
        </w:tc>
        <w:tc>
          <w:tcPr>
            <w:tcW w:w="2599" w:type="dxa"/>
          </w:tcPr>
          <w:p w:rsidR="00A943C5" w:rsidRPr="00C6090E" w:rsidRDefault="00A943C5" w:rsidP="00A70BA0">
            <w:pPr>
              <w:rPr>
                <w:rFonts w:cs="Times New Roman"/>
                <w:lang w:val="fr-SN"/>
              </w:rPr>
            </w:pPr>
          </w:p>
        </w:tc>
      </w:tr>
      <w:tr w:rsidR="00A943C5" w:rsidRPr="005077F3" w:rsidTr="00B93C61">
        <w:tc>
          <w:tcPr>
            <w:tcW w:w="2598"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3256" w:type="dxa"/>
          </w:tcPr>
          <w:p w:rsidR="00A943C5" w:rsidRDefault="00A943C5" w:rsidP="00A943C5">
            <w:pPr>
              <w:rPr>
                <w:rFonts w:cs="Times New Roman"/>
                <w:lang w:val="fr-SN"/>
              </w:rPr>
            </w:pPr>
            <w:r>
              <w:rPr>
                <w:rFonts w:cs="Times New Roman"/>
                <w:lang w:val="fr-SN"/>
              </w:rPr>
              <w:t>Renforcer la coordination entre les NOC, les BCC, les IROG et ROC</w:t>
            </w:r>
          </w:p>
        </w:tc>
        <w:tc>
          <w:tcPr>
            <w:tcW w:w="2599" w:type="dxa"/>
          </w:tcPr>
          <w:p w:rsidR="00A943C5" w:rsidRPr="00C6090E" w:rsidRDefault="00A943C5" w:rsidP="00A70BA0">
            <w:pPr>
              <w:rPr>
                <w:rFonts w:cs="Times New Roman"/>
                <w:lang w:val="fr-SN"/>
              </w:rPr>
            </w:pPr>
          </w:p>
        </w:tc>
      </w:tr>
      <w:tr w:rsidR="00A943C5" w:rsidRPr="00C6090E" w:rsidTr="00B93C61">
        <w:tc>
          <w:tcPr>
            <w:tcW w:w="2598"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2599" w:type="dxa"/>
            <w:vMerge/>
          </w:tcPr>
          <w:p w:rsidR="00A943C5" w:rsidRPr="00C6090E" w:rsidRDefault="00A943C5" w:rsidP="00A70BA0">
            <w:pPr>
              <w:rPr>
                <w:rFonts w:cs="Times New Roman"/>
                <w:lang w:val="fr-SN"/>
              </w:rPr>
            </w:pPr>
          </w:p>
        </w:tc>
        <w:tc>
          <w:tcPr>
            <w:tcW w:w="3256" w:type="dxa"/>
          </w:tcPr>
          <w:p w:rsidR="00A943C5" w:rsidRDefault="00A943C5" w:rsidP="00A70BA0">
            <w:pPr>
              <w:rPr>
                <w:rFonts w:cs="Times New Roman"/>
                <w:lang w:val="fr-SN"/>
              </w:rPr>
            </w:pPr>
            <w:r>
              <w:rPr>
                <w:rFonts w:cs="Times New Roman"/>
                <w:lang w:val="fr-SN"/>
              </w:rPr>
              <w:t xml:space="preserve">Autre suggestion </w:t>
            </w:r>
          </w:p>
        </w:tc>
        <w:tc>
          <w:tcPr>
            <w:tcW w:w="2599" w:type="dxa"/>
          </w:tcPr>
          <w:p w:rsidR="00A943C5" w:rsidRPr="00C6090E" w:rsidRDefault="00A943C5" w:rsidP="00A70BA0">
            <w:pPr>
              <w:rPr>
                <w:rFonts w:cs="Times New Roman"/>
                <w:lang w:val="fr-SN"/>
              </w:rPr>
            </w:pPr>
          </w:p>
        </w:tc>
      </w:tr>
    </w:tbl>
    <w:p w:rsidR="00086A2C" w:rsidRPr="00C6090E" w:rsidRDefault="00086A2C" w:rsidP="00086A2C">
      <w:pPr>
        <w:rPr>
          <w:lang w:val="fr-SN"/>
        </w:rPr>
      </w:pPr>
    </w:p>
    <w:p w:rsidR="00086A2C" w:rsidRPr="00C6090E" w:rsidRDefault="00086A2C" w:rsidP="00086A2C">
      <w:pPr>
        <w:rPr>
          <w:lang w:val="fr-SN"/>
        </w:rPr>
      </w:pPr>
    </w:p>
    <w:p w:rsidR="00086A2C" w:rsidRPr="00C6090E" w:rsidRDefault="00086A2C" w:rsidP="00086A2C">
      <w:pPr>
        <w:rPr>
          <w:lang w:val="fr-SN"/>
        </w:rPr>
      </w:pPr>
    </w:p>
    <w:p w:rsidR="00B053EC" w:rsidRPr="00B053EC" w:rsidRDefault="00B053EC" w:rsidP="00B053EC">
      <w:pPr>
        <w:spacing w:before="240"/>
        <w:rPr>
          <w:rFonts w:cs="Times New Roman"/>
          <w:b/>
          <w:bCs/>
          <w:szCs w:val="24"/>
          <w:lang w:val="fr-SN"/>
        </w:rPr>
      </w:pPr>
      <w:r w:rsidRPr="00B053EC">
        <w:rPr>
          <w:rFonts w:cs="Times New Roman"/>
          <w:b/>
          <w:bCs/>
          <w:szCs w:val="24"/>
          <w:lang w:val="fr-SN"/>
        </w:rPr>
        <w:t>Date de renseignement du formulaire et signature:</w:t>
      </w:r>
    </w:p>
    <w:p w:rsidR="00B053EC" w:rsidRPr="00B053EC" w:rsidRDefault="00B053EC" w:rsidP="00B053EC">
      <w:pPr>
        <w:rPr>
          <w:rFonts w:cs="Times New Roman"/>
          <w:b/>
          <w:bCs/>
          <w:sz w:val="16"/>
          <w:szCs w:val="16"/>
          <w:lang w:val="fr-SN"/>
        </w:rPr>
      </w:pPr>
    </w:p>
    <w:p w:rsidR="00B053EC" w:rsidRPr="000F30AA" w:rsidRDefault="00B053EC" w:rsidP="00B053EC">
      <w:pPr>
        <w:rPr>
          <w:rFonts w:cs="Times New Roman"/>
          <w:b/>
          <w:bCs/>
          <w:szCs w:val="24"/>
          <w:lang w:val="fr-SN"/>
        </w:rPr>
      </w:pPr>
      <w:r w:rsidRPr="000F30AA">
        <w:rPr>
          <w:rFonts w:cs="Times New Roman"/>
          <w:b/>
          <w:bCs/>
          <w:szCs w:val="24"/>
          <w:lang w:val="fr-SN"/>
        </w:rPr>
        <w:t>_____________________________________________________</w:t>
      </w:r>
    </w:p>
    <w:p w:rsidR="00B053EC" w:rsidRPr="000F30AA" w:rsidRDefault="00B053EC" w:rsidP="00B053EC">
      <w:pPr>
        <w:rPr>
          <w:rFonts w:cs="Times New Roman"/>
          <w:b/>
          <w:i/>
          <w:sz w:val="28"/>
          <w:szCs w:val="28"/>
          <w:lang w:val="fr-SN"/>
        </w:rPr>
      </w:pPr>
    </w:p>
    <w:p w:rsidR="00B053EC" w:rsidRPr="00B87C91" w:rsidRDefault="00B053EC" w:rsidP="00B053EC">
      <w:pPr>
        <w:rPr>
          <w:rFonts w:cs="Times New Roman"/>
          <w:b/>
          <w:i/>
          <w:sz w:val="24"/>
          <w:szCs w:val="24"/>
          <w:lang w:val="fr-SN"/>
        </w:rPr>
      </w:pPr>
      <w:r w:rsidRPr="00B87C91">
        <w:rPr>
          <w:rFonts w:cs="Times New Roman"/>
          <w:b/>
          <w:i/>
          <w:sz w:val="24"/>
          <w:szCs w:val="24"/>
          <w:lang w:val="fr-SN"/>
        </w:rPr>
        <w:t xml:space="preserve">Merci d’avoir pris votre temps pour </w:t>
      </w:r>
      <w:r w:rsidR="00B87C91" w:rsidRPr="00B87C91">
        <w:rPr>
          <w:rFonts w:cs="Times New Roman"/>
          <w:b/>
          <w:i/>
          <w:sz w:val="24"/>
          <w:szCs w:val="24"/>
          <w:lang w:val="fr-SN"/>
        </w:rPr>
        <w:t>renseigner</w:t>
      </w:r>
      <w:r w:rsidRPr="00B87C91">
        <w:rPr>
          <w:rFonts w:cs="Times New Roman"/>
          <w:b/>
          <w:i/>
          <w:sz w:val="24"/>
          <w:szCs w:val="24"/>
          <w:lang w:val="fr-SN"/>
        </w:rPr>
        <w:t xml:space="preserve"> ce formulaire.</w:t>
      </w:r>
    </w:p>
    <w:p w:rsidR="00B053EC" w:rsidRPr="00E44D12" w:rsidRDefault="00B053EC" w:rsidP="00B053EC">
      <w:pPr>
        <w:autoSpaceDE w:val="0"/>
        <w:autoSpaceDN w:val="0"/>
        <w:adjustRightInd w:val="0"/>
        <w:ind w:left="1985" w:hanging="569"/>
        <w:rPr>
          <w:rFonts w:cs="Times New Roman"/>
          <w:b/>
          <w:i/>
          <w:sz w:val="28"/>
          <w:szCs w:val="28"/>
          <w:lang w:val="fr-SN"/>
        </w:rPr>
      </w:pPr>
    </w:p>
    <w:p w:rsidR="00086A2C" w:rsidRPr="00E44D12" w:rsidRDefault="00086A2C" w:rsidP="00086A2C">
      <w:pPr>
        <w:rPr>
          <w:lang w:val="fr-SN"/>
        </w:rPr>
      </w:pPr>
    </w:p>
    <w:p w:rsidR="00086A2C" w:rsidRPr="00E44D12" w:rsidRDefault="00086A2C" w:rsidP="00086A2C">
      <w:pPr>
        <w:rPr>
          <w:lang w:val="fr-SN"/>
        </w:rPr>
      </w:pPr>
    </w:p>
    <w:sectPr w:rsidR="00086A2C" w:rsidRPr="00E44D12" w:rsidSect="00086A2C">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3E" w:rsidRDefault="00FC753E" w:rsidP="00910268">
      <w:pPr>
        <w:spacing w:before="0" w:after="0" w:line="240" w:lineRule="auto"/>
      </w:pPr>
      <w:r>
        <w:separator/>
      </w:r>
    </w:p>
  </w:endnote>
  <w:endnote w:type="continuationSeparator" w:id="0">
    <w:p w:rsidR="00FC753E" w:rsidRDefault="00FC753E" w:rsidP="009102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3E" w:rsidRDefault="00FC753E" w:rsidP="00910268">
      <w:pPr>
        <w:spacing w:before="0" w:after="0" w:line="240" w:lineRule="auto"/>
      </w:pPr>
      <w:r>
        <w:separator/>
      </w:r>
    </w:p>
  </w:footnote>
  <w:footnote w:type="continuationSeparator" w:id="0">
    <w:p w:rsidR="00FC753E" w:rsidRDefault="00FC753E" w:rsidP="009102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5077F3" w:rsidRPr="005077F3" w:rsidRDefault="005077F3" w:rsidP="005077F3">
        <w:pPr>
          <w:pStyle w:val="Header"/>
          <w:jc w:val="right"/>
          <w:rPr>
            <w:b/>
          </w:rPr>
        </w:pPr>
        <w:r w:rsidRPr="005077F3">
          <w:rPr>
            <w:b/>
          </w:rPr>
          <w:t>SL ES AN 8.4 - 0239</w:t>
        </w:r>
      </w:p>
      <w:p w:rsidR="00910268" w:rsidRDefault="00910268" w:rsidP="005077F3">
        <w:pPr>
          <w:pStyle w:val="Header"/>
          <w:jc w:val="right"/>
        </w:pPr>
        <w:r w:rsidRPr="00291DB0">
          <w:rPr>
            <w:rFonts w:eastAsia="Times New Roman" w:cs="Times New Roman"/>
            <w:noProof/>
            <w:sz w:val="32"/>
            <w:szCs w:val="32"/>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-193926</wp:posOffset>
              </wp:positionV>
              <wp:extent cx="1752600" cy="599440"/>
              <wp:effectExtent l="0" t="0" r="0" b="0"/>
              <wp:wrapSquare wrapText="bothSides"/>
              <wp:docPr id="1" name="Picture 1" descr="E:\mjallow D\LOGO\ICAO\ICAO LOGO OCT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jallow D\LOGO\ICAO\ICAO LOGO OCT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52600" cy="599440"/>
                      </a:xfrm>
                      <a:prstGeom prst="rect">
                        <a:avLst/>
                      </a:prstGeom>
                      <a:noFill/>
                      <a:ln>
                        <a:noFill/>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5077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77F3">
          <w:rPr>
            <w:b/>
            <w:bCs/>
            <w:noProof/>
          </w:rPr>
          <w:t>8</w:t>
        </w:r>
        <w:r>
          <w:rPr>
            <w:b/>
            <w:bCs/>
            <w:sz w:val="24"/>
            <w:szCs w:val="24"/>
          </w:rPr>
          <w:fldChar w:fldCharType="end"/>
        </w:r>
      </w:p>
    </w:sdtContent>
  </w:sdt>
  <w:p w:rsidR="00910268" w:rsidRDefault="00910268">
    <w:pPr>
      <w:pStyle w:val="Header"/>
    </w:pPr>
  </w:p>
  <w:p w:rsidR="00910268" w:rsidRDefault="0091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5CAA"/>
    <w:multiLevelType w:val="hybridMultilevel"/>
    <w:tmpl w:val="7B421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13607"/>
    <w:multiLevelType w:val="hybridMultilevel"/>
    <w:tmpl w:val="D69CBC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200822"/>
    <w:multiLevelType w:val="hybridMultilevel"/>
    <w:tmpl w:val="59C0AE78"/>
    <w:lvl w:ilvl="0" w:tplc="0A20F1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2C"/>
    <w:rsid w:val="00085EC8"/>
    <w:rsid w:val="00086A2C"/>
    <w:rsid w:val="000E7F46"/>
    <w:rsid w:val="000F30AA"/>
    <w:rsid w:val="00166FDA"/>
    <w:rsid w:val="001D359D"/>
    <w:rsid w:val="001D4EF9"/>
    <w:rsid w:val="002D4D1C"/>
    <w:rsid w:val="002E1134"/>
    <w:rsid w:val="00347F93"/>
    <w:rsid w:val="003F0B19"/>
    <w:rsid w:val="004177EC"/>
    <w:rsid w:val="004A63FE"/>
    <w:rsid w:val="005077F3"/>
    <w:rsid w:val="005F3565"/>
    <w:rsid w:val="0064731D"/>
    <w:rsid w:val="00885566"/>
    <w:rsid w:val="008944FA"/>
    <w:rsid w:val="00910268"/>
    <w:rsid w:val="00924C67"/>
    <w:rsid w:val="009370B7"/>
    <w:rsid w:val="009B0C47"/>
    <w:rsid w:val="00A70BA0"/>
    <w:rsid w:val="00A913EB"/>
    <w:rsid w:val="00A943C5"/>
    <w:rsid w:val="00B053EC"/>
    <w:rsid w:val="00B11F4F"/>
    <w:rsid w:val="00B41ED7"/>
    <w:rsid w:val="00B87C91"/>
    <w:rsid w:val="00B93C61"/>
    <w:rsid w:val="00BA600A"/>
    <w:rsid w:val="00BF73E2"/>
    <w:rsid w:val="00C6090E"/>
    <w:rsid w:val="00CD22D6"/>
    <w:rsid w:val="00DB1B64"/>
    <w:rsid w:val="00DD2D61"/>
    <w:rsid w:val="00E03AAC"/>
    <w:rsid w:val="00E17A7A"/>
    <w:rsid w:val="00E2424B"/>
    <w:rsid w:val="00E44D12"/>
    <w:rsid w:val="00E75A7F"/>
    <w:rsid w:val="00E9417D"/>
    <w:rsid w:val="00EE2F05"/>
    <w:rsid w:val="00F933AA"/>
    <w:rsid w:val="00FC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E60E0"/>
  <w15:chartTrackingRefBased/>
  <w15:docId w15:val="{0B4BC9E4-DA2F-41B6-AAE8-672D1901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47"/>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A2C"/>
    <w:rPr>
      <w:color w:val="0563C1" w:themeColor="hyperlink"/>
      <w:u w:val="single"/>
    </w:rPr>
  </w:style>
  <w:style w:type="table" w:styleId="TableGrid">
    <w:name w:val="Table Grid"/>
    <w:basedOn w:val="TableNormal"/>
    <w:uiPriority w:val="39"/>
    <w:rsid w:val="000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C47"/>
    <w:pPr>
      <w:ind w:left="720"/>
      <w:contextualSpacing/>
    </w:pPr>
  </w:style>
  <w:style w:type="paragraph" w:styleId="Header">
    <w:name w:val="header"/>
    <w:basedOn w:val="Normal"/>
    <w:link w:val="HeaderChar"/>
    <w:uiPriority w:val="99"/>
    <w:unhideWhenUsed/>
    <w:rsid w:val="00910268"/>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910268"/>
    <w:rPr>
      <w:rFonts w:ascii="Times New Roman" w:hAnsi="Times New Roman"/>
    </w:rPr>
  </w:style>
  <w:style w:type="paragraph" w:styleId="Footer">
    <w:name w:val="footer"/>
    <w:basedOn w:val="Normal"/>
    <w:link w:val="FooterChar"/>
    <w:uiPriority w:val="99"/>
    <w:unhideWhenUsed/>
    <w:rsid w:val="00910268"/>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91026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zhetese@icao.i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lboudo@icao.int"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1b38e693d0680f30e3feb9efd1187c7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BF766F-F847-4A76-AB63-5A237A0752F6}">
  <ds:schemaRefs>
    <ds:schemaRef ds:uri="http://schemas.openxmlformats.org/officeDocument/2006/bibliography"/>
  </ds:schemaRefs>
</ds:datastoreItem>
</file>

<file path=customXml/itemProps2.xml><?xml version="1.0" encoding="utf-8"?>
<ds:datastoreItem xmlns:ds="http://schemas.openxmlformats.org/officeDocument/2006/customXml" ds:itemID="{620BB4C4-6CC3-44E2-A51D-5396781E42AB}"/>
</file>

<file path=customXml/itemProps3.xml><?xml version="1.0" encoding="utf-8"?>
<ds:datastoreItem xmlns:ds="http://schemas.openxmlformats.org/officeDocument/2006/customXml" ds:itemID="{6571192D-BC85-40EB-8503-2EAA50745650}"/>
</file>

<file path=customXml/itemProps4.xml><?xml version="1.0" encoding="utf-8"?>
<ds:datastoreItem xmlns:ds="http://schemas.openxmlformats.org/officeDocument/2006/customXml" ds:itemID="{E16BB8F9-83F6-44F4-9097-E44D4A123C96}"/>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8375</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ILBOUDO, Goama</dc:creator>
  <cp:keywords/>
  <dc:description/>
  <cp:lastModifiedBy>Anyango, Mildred</cp:lastModifiedBy>
  <cp:revision>2</cp:revision>
  <dcterms:created xsi:type="dcterms:W3CDTF">2021-07-15T13:52:00Z</dcterms:created>
  <dcterms:modified xsi:type="dcterms:W3CDTF">2021-07-15T13:52:00Z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