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25" w:rsidRPr="00DC1725" w:rsidRDefault="00DC1725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DC1725">
        <w:rPr>
          <w:b/>
          <w:i/>
          <w:sz w:val="24"/>
          <w:szCs w:val="24"/>
          <w:u w:val="single"/>
        </w:rPr>
        <w:t>ANNEXE</w:t>
      </w:r>
    </w:p>
    <w:p w:rsidR="00DC1725" w:rsidRDefault="00DC1725">
      <w:pPr>
        <w:rPr>
          <w:b/>
          <w:i/>
          <w:sz w:val="24"/>
          <w:szCs w:val="24"/>
          <w:u w:val="single"/>
        </w:rPr>
      </w:pPr>
    </w:p>
    <w:p w:rsidR="00DC1725" w:rsidRDefault="00DC1725">
      <w:pPr>
        <w:rPr>
          <w:b/>
          <w:i/>
          <w:sz w:val="24"/>
          <w:szCs w:val="24"/>
          <w:u w:val="single"/>
        </w:rPr>
      </w:pPr>
    </w:p>
    <w:p w:rsidR="002A3322" w:rsidRDefault="002A3322" w:rsidP="002A3322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PARTENARIAT ROYAL AIR MAROC / </w:t>
      </w:r>
      <w:r w:rsidR="00202781">
        <w:rPr>
          <w:b/>
          <w:i/>
          <w:sz w:val="24"/>
          <w:szCs w:val="24"/>
          <w:u w:val="single"/>
        </w:rPr>
        <w:t>OFFICE NATIONAL DES AEROPORTS</w:t>
      </w:r>
    </w:p>
    <w:p w:rsidR="002A3322" w:rsidRDefault="002A3322" w:rsidP="002A3322">
      <w:pPr>
        <w:jc w:val="center"/>
        <w:rPr>
          <w:b/>
          <w:i/>
          <w:sz w:val="24"/>
          <w:szCs w:val="24"/>
          <w:u w:val="single"/>
        </w:rPr>
      </w:pPr>
    </w:p>
    <w:p w:rsidR="00B716E9" w:rsidRDefault="00B716E9" w:rsidP="002A3322">
      <w:pPr>
        <w:jc w:val="center"/>
        <w:rPr>
          <w:b/>
          <w:i/>
          <w:sz w:val="24"/>
          <w:szCs w:val="24"/>
          <w:u w:val="single"/>
        </w:rPr>
      </w:pPr>
      <w:r w:rsidRPr="00B716E9">
        <w:rPr>
          <w:b/>
          <w:i/>
          <w:sz w:val="24"/>
          <w:szCs w:val="24"/>
          <w:u w:val="single"/>
        </w:rPr>
        <w:t>TARIFS PREFERE</w:t>
      </w:r>
      <w:r w:rsidR="00E10C5D">
        <w:rPr>
          <w:b/>
          <w:i/>
          <w:sz w:val="24"/>
          <w:szCs w:val="24"/>
          <w:u w:val="single"/>
        </w:rPr>
        <w:t>N</w:t>
      </w:r>
      <w:r w:rsidRPr="00B716E9">
        <w:rPr>
          <w:b/>
          <w:i/>
          <w:sz w:val="24"/>
          <w:szCs w:val="24"/>
          <w:u w:val="single"/>
        </w:rPr>
        <w:t>TIEL</w:t>
      </w:r>
      <w:r w:rsidR="00E92EFB">
        <w:rPr>
          <w:b/>
          <w:i/>
          <w:sz w:val="24"/>
          <w:szCs w:val="24"/>
          <w:u w:val="single"/>
        </w:rPr>
        <w:t>S EN FAVEUR DES PARTICIPANTS AU</w:t>
      </w:r>
      <w:r w:rsidR="00202781">
        <w:rPr>
          <w:b/>
          <w:i/>
          <w:sz w:val="24"/>
          <w:szCs w:val="24"/>
          <w:u w:val="single"/>
        </w:rPr>
        <w:t>X REUNIONS DES GROUPES DE TRAVAIL ET DU CONSEIL D’ADMINISTRATION DE L’ACI AFRIQUE ET CONFERENCE REGIONALE SUR LA SECURITE DES PISTES</w:t>
      </w:r>
      <w:r w:rsidR="00004F11">
        <w:rPr>
          <w:b/>
          <w:i/>
          <w:sz w:val="24"/>
          <w:szCs w:val="24"/>
          <w:u w:val="single"/>
        </w:rPr>
        <w:t xml:space="preserve"> / </w:t>
      </w:r>
      <w:r w:rsidR="00202781">
        <w:rPr>
          <w:b/>
          <w:i/>
          <w:sz w:val="24"/>
          <w:szCs w:val="24"/>
          <w:u w:val="single"/>
        </w:rPr>
        <w:t>AGADIR  – DU 08</w:t>
      </w:r>
      <w:r w:rsidR="00004F11">
        <w:rPr>
          <w:b/>
          <w:i/>
          <w:sz w:val="24"/>
          <w:szCs w:val="24"/>
          <w:u w:val="single"/>
        </w:rPr>
        <w:t xml:space="preserve"> AU 1</w:t>
      </w:r>
      <w:r w:rsidR="00202781">
        <w:rPr>
          <w:b/>
          <w:i/>
          <w:sz w:val="24"/>
          <w:szCs w:val="24"/>
          <w:u w:val="single"/>
        </w:rPr>
        <w:t>2</w:t>
      </w:r>
      <w:r w:rsidR="00E10C5D">
        <w:rPr>
          <w:b/>
          <w:i/>
          <w:sz w:val="24"/>
          <w:szCs w:val="24"/>
          <w:u w:val="single"/>
        </w:rPr>
        <w:t xml:space="preserve"> </w:t>
      </w:r>
      <w:r w:rsidR="00202781">
        <w:rPr>
          <w:b/>
          <w:i/>
          <w:sz w:val="24"/>
          <w:szCs w:val="24"/>
          <w:u w:val="single"/>
        </w:rPr>
        <w:t>AVRIL</w:t>
      </w:r>
      <w:r w:rsidR="00743F39">
        <w:rPr>
          <w:b/>
          <w:i/>
          <w:sz w:val="24"/>
          <w:szCs w:val="24"/>
          <w:u w:val="single"/>
        </w:rPr>
        <w:t xml:space="preserve"> 2013</w:t>
      </w:r>
      <w:r w:rsidR="005F0FCD">
        <w:rPr>
          <w:b/>
          <w:i/>
          <w:sz w:val="24"/>
          <w:szCs w:val="24"/>
          <w:u w:val="single"/>
        </w:rPr>
        <w:t xml:space="preserve"> (NOMBRE DE PAR</w:t>
      </w:r>
      <w:r w:rsidR="00202781">
        <w:rPr>
          <w:b/>
          <w:i/>
          <w:sz w:val="24"/>
          <w:szCs w:val="24"/>
          <w:u w:val="single"/>
        </w:rPr>
        <w:t>TICIPANTS 3</w:t>
      </w:r>
      <w:r w:rsidR="005F0FCD">
        <w:rPr>
          <w:b/>
          <w:i/>
          <w:sz w:val="24"/>
          <w:szCs w:val="24"/>
          <w:u w:val="single"/>
        </w:rPr>
        <w:t>00)</w:t>
      </w:r>
    </w:p>
    <w:p w:rsidR="00DC1725" w:rsidRDefault="00DC1725">
      <w:pPr>
        <w:rPr>
          <w:b/>
          <w:i/>
          <w:sz w:val="24"/>
          <w:szCs w:val="24"/>
          <w:u w:val="single"/>
        </w:rPr>
      </w:pPr>
    </w:p>
    <w:p w:rsidR="00DC1725" w:rsidRPr="00B716E9" w:rsidRDefault="00202781">
      <w:pPr>
        <w:rPr>
          <w:b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(Référence 045</w:t>
      </w:r>
      <w:r w:rsidR="00DC1725" w:rsidRPr="002A3322">
        <w:rPr>
          <w:i/>
          <w:sz w:val="24"/>
          <w:szCs w:val="24"/>
          <w:u w:val="single"/>
        </w:rPr>
        <w:t>/KZ/DMV/DGE</w:t>
      </w:r>
      <w:r w:rsidR="00E92EFB">
        <w:rPr>
          <w:b/>
          <w:i/>
          <w:sz w:val="24"/>
          <w:szCs w:val="24"/>
          <w:u w:val="single"/>
        </w:rPr>
        <w:t>)</w:t>
      </w:r>
    </w:p>
    <w:p w:rsidR="00847942" w:rsidRPr="00B716E9" w:rsidRDefault="00847942" w:rsidP="00847942">
      <w:pPr>
        <w:rPr>
          <w:b/>
          <w:i/>
          <w:sz w:val="24"/>
          <w:szCs w:val="24"/>
          <w:u w:val="single"/>
        </w:rPr>
      </w:pPr>
    </w:p>
    <w:p w:rsidR="00847942" w:rsidRDefault="00847942" w:rsidP="00847942"/>
    <w:p w:rsidR="00847942" w:rsidRDefault="00847942" w:rsidP="00847942">
      <w:pPr>
        <w:numPr>
          <w:ilvl w:val="0"/>
          <w:numId w:val="4"/>
        </w:numPr>
        <w:rPr>
          <w:b/>
          <w:i/>
          <w:sz w:val="22"/>
          <w:szCs w:val="22"/>
          <w:u w:val="single"/>
        </w:rPr>
      </w:pPr>
      <w:r w:rsidRPr="00B716E9">
        <w:rPr>
          <w:b/>
          <w:i/>
          <w:sz w:val="22"/>
          <w:szCs w:val="22"/>
          <w:u w:val="single"/>
        </w:rPr>
        <w:t>NIVEAUX TARIFAIRES : ALLER-RETOUR, NETS, HORS TAXES ET FRAIS DE SERVICE</w:t>
      </w:r>
      <w:r>
        <w:rPr>
          <w:b/>
          <w:i/>
          <w:sz w:val="22"/>
          <w:szCs w:val="22"/>
          <w:u w:val="single"/>
        </w:rPr>
        <w:t xml:space="preserve"> (en monnaie locale)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2277"/>
        <w:gridCol w:w="3240"/>
      </w:tblGrid>
      <w:tr w:rsidR="00847942" w:rsidRPr="00874AF8" w:rsidTr="00333767">
        <w:tc>
          <w:tcPr>
            <w:tcW w:w="5211" w:type="dxa"/>
          </w:tcPr>
          <w:p w:rsidR="00847942" w:rsidRPr="00302C6D" w:rsidRDefault="00847942" w:rsidP="006707F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France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 classe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 classe 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Paris/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/Paris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Strasbourg/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 xml:space="preserve"> /Strasbourg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Nantes/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 xml:space="preserve"> /Nantes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Lyon/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 xml:space="preserve"> /Lyon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Bordeaux/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 xml:space="preserve"> /Bordeaux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Toulouse/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 xml:space="preserve"> /Toulouse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Nice/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/Nice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Marseille/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/Marseille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302C6D" w:rsidRDefault="00847942" w:rsidP="006707F3">
            <w:pPr>
              <w:jc w:val="center"/>
              <w:rPr>
                <w:b/>
                <w:i/>
                <w:sz w:val="24"/>
                <w:szCs w:val="24"/>
              </w:rPr>
            </w:pPr>
            <w:r w:rsidRPr="00302C6D">
              <w:rPr>
                <w:b/>
                <w:i/>
                <w:sz w:val="24"/>
                <w:szCs w:val="24"/>
              </w:rPr>
              <w:t xml:space="preserve">EUROPE </w:t>
            </w:r>
            <w:r>
              <w:rPr>
                <w:b/>
                <w:i/>
                <w:sz w:val="24"/>
                <w:szCs w:val="24"/>
              </w:rPr>
              <w:t>SUD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Barcelone/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/Barcelone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Madrid/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/Madrid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Rome/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/Rome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Milan/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/Milan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Bologne/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/Bologne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Lisbonne/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/Lisbonne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jc w:val="center"/>
              <w:rPr>
                <w:i/>
                <w:sz w:val="24"/>
                <w:szCs w:val="24"/>
              </w:rPr>
            </w:pPr>
            <w:r w:rsidRPr="00302C6D">
              <w:rPr>
                <w:b/>
                <w:i/>
                <w:sz w:val="24"/>
                <w:szCs w:val="24"/>
              </w:rPr>
              <w:t>EUROPE NORD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Genève/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/Genève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 CHF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 CHF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Bruxelles/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/Bruxelles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Frankfort/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/Frankfurt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Amsterdam/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/Amsterdam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800 €</w:t>
            </w:r>
          </w:p>
        </w:tc>
      </w:tr>
      <w:tr w:rsidR="00847942" w:rsidRPr="00874AF8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Londres/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/Londres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 GBP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 GBP</w:t>
            </w:r>
          </w:p>
        </w:tc>
      </w:tr>
      <w:tr w:rsidR="00847942" w:rsidTr="00333767">
        <w:tc>
          <w:tcPr>
            <w:tcW w:w="5211" w:type="dxa"/>
          </w:tcPr>
          <w:p w:rsidR="00847942" w:rsidRPr="00BD0DCD" w:rsidRDefault="00333767" w:rsidP="006707F3">
            <w:pPr>
              <w:rPr>
                <w:b/>
                <w:i/>
                <w:sz w:val="24"/>
                <w:szCs w:val="24"/>
              </w:rPr>
            </w:pPr>
            <w:r w:rsidRPr="00BD0DCD">
              <w:rPr>
                <w:b/>
                <w:i/>
                <w:sz w:val="24"/>
                <w:szCs w:val="24"/>
              </w:rPr>
              <w:t>MAGHREB/MOYEN ORIENT/AFRIQUE/AMN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Alger/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/Alger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18100 DZD 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43000 DZD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Tunis/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/Tunis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 TND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 TND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Tripoli/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/Tripoli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 LYD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960 LYD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Le Caire/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/Le Caire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1880 EGP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7200 EGP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proofErr w:type="spellStart"/>
            <w:r w:rsidRPr="00874AF8">
              <w:rPr>
                <w:i/>
                <w:sz w:val="24"/>
                <w:szCs w:val="24"/>
              </w:rPr>
              <w:t>Jeddah</w:t>
            </w:r>
            <w:proofErr w:type="spellEnd"/>
            <w:r w:rsidRPr="00874AF8">
              <w:rPr>
                <w:i/>
                <w:sz w:val="24"/>
                <w:szCs w:val="24"/>
              </w:rPr>
              <w:t>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</w:t>
            </w:r>
            <w:proofErr w:type="spellStart"/>
            <w:r w:rsidRPr="00874AF8">
              <w:rPr>
                <w:i/>
                <w:sz w:val="24"/>
                <w:szCs w:val="24"/>
              </w:rPr>
              <w:t>Jeddah</w:t>
            </w:r>
            <w:proofErr w:type="spellEnd"/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2300 SAR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6900 SAR 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proofErr w:type="spellStart"/>
            <w:r w:rsidRPr="00874AF8">
              <w:rPr>
                <w:i/>
                <w:sz w:val="24"/>
                <w:szCs w:val="24"/>
              </w:rPr>
              <w:t>Riyadh</w:t>
            </w:r>
            <w:proofErr w:type="spellEnd"/>
            <w:r w:rsidRPr="00874AF8">
              <w:rPr>
                <w:i/>
                <w:sz w:val="24"/>
                <w:szCs w:val="24"/>
              </w:rPr>
              <w:t>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</w:t>
            </w:r>
            <w:proofErr w:type="spellStart"/>
            <w:r w:rsidRPr="00874AF8">
              <w:rPr>
                <w:i/>
                <w:sz w:val="24"/>
                <w:szCs w:val="24"/>
              </w:rPr>
              <w:t>Riyadh</w:t>
            </w:r>
            <w:proofErr w:type="spellEnd"/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2300 SAR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6900 SAR 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Istanbul/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/Istanbul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350 €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900 €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Beyrouth/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/Beyrouth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 USD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 USD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Abidjan/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/Abidjan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270000 XOF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930000 XOF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Dakar/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/Dakar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200000 XOF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650000 XOF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Conakry/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/Conakry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 USD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1300 USD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Nouakchott/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/Nouakchott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84000 MRO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170000 MRO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Niamey/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/Niamey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240000 XOF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930000 XOF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Bamako/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/Bamako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240000 XOF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520000 XOF</w:t>
            </w:r>
          </w:p>
        </w:tc>
      </w:tr>
      <w:tr w:rsidR="00847942" w:rsidTr="00333767">
        <w:trPr>
          <w:trHeight w:val="355"/>
        </w:trPr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Accra/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/Accra</w:t>
            </w:r>
          </w:p>
        </w:tc>
        <w:tc>
          <w:tcPr>
            <w:tcW w:w="2277" w:type="dxa"/>
          </w:tcPr>
          <w:p w:rsidR="00847942" w:rsidRDefault="00847942" w:rsidP="006707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650 GHS</w:t>
            </w:r>
          </w:p>
          <w:p w:rsidR="00847942" w:rsidRPr="00874AF8" w:rsidRDefault="00847942" w:rsidP="006707F3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1700 GHS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lastRenderedPageBreak/>
              <w:t>Kinshasa/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/Kinshasa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 USD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2400 USD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Ouagadougou/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/Ouagadougou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240000 XOF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700000 XOF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Malabo/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/Malabo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335000 XAF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915000 XAF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Luanda/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/Luanda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 USD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2400 USD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Cotonou/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/Cotonou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320000 XOF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850000 XOF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Monrovia/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/Monrovia</w:t>
            </w:r>
          </w:p>
        </w:tc>
        <w:tc>
          <w:tcPr>
            <w:tcW w:w="2277" w:type="dxa"/>
          </w:tcPr>
          <w:p w:rsidR="00847942" w:rsidRPr="00022D8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 USD</w:t>
            </w:r>
          </w:p>
        </w:tc>
        <w:tc>
          <w:tcPr>
            <w:tcW w:w="3240" w:type="dxa"/>
          </w:tcPr>
          <w:p w:rsidR="00847942" w:rsidRPr="00022D8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 USD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Libreville/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/Libreville</w:t>
            </w:r>
          </w:p>
        </w:tc>
        <w:tc>
          <w:tcPr>
            <w:tcW w:w="2277" w:type="dxa"/>
          </w:tcPr>
          <w:p w:rsidR="00847942" w:rsidRPr="00022D8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370000 XAF</w:t>
            </w:r>
          </w:p>
        </w:tc>
        <w:tc>
          <w:tcPr>
            <w:tcW w:w="3240" w:type="dxa"/>
          </w:tcPr>
          <w:p w:rsidR="00847942" w:rsidRPr="00022D8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1115000 XAF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Lomé/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/Lomé</w:t>
            </w:r>
          </w:p>
        </w:tc>
        <w:tc>
          <w:tcPr>
            <w:tcW w:w="2277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320000 XOF</w:t>
            </w:r>
          </w:p>
        </w:tc>
        <w:tc>
          <w:tcPr>
            <w:tcW w:w="3240" w:type="dxa"/>
          </w:tcPr>
          <w:p w:rsidR="00847942" w:rsidRPr="00874AF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850000 XOF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Lagos/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/Lagos</w:t>
            </w:r>
          </w:p>
        </w:tc>
        <w:tc>
          <w:tcPr>
            <w:tcW w:w="2277" w:type="dxa"/>
          </w:tcPr>
          <w:p w:rsidR="00847942" w:rsidRPr="00022D8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 USD</w:t>
            </w:r>
          </w:p>
        </w:tc>
        <w:tc>
          <w:tcPr>
            <w:tcW w:w="3240" w:type="dxa"/>
          </w:tcPr>
          <w:p w:rsidR="00847942" w:rsidRPr="00022D8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 USD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Brazzaville/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/Brazzaville</w:t>
            </w:r>
          </w:p>
        </w:tc>
        <w:tc>
          <w:tcPr>
            <w:tcW w:w="2277" w:type="dxa"/>
          </w:tcPr>
          <w:p w:rsidR="00847942" w:rsidRPr="00022D8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440000 XAF</w:t>
            </w:r>
          </w:p>
        </w:tc>
        <w:tc>
          <w:tcPr>
            <w:tcW w:w="3240" w:type="dxa"/>
          </w:tcPr>
          <w:p w:rsidR="00847942" w:rsidRPr="00022D8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1200000 XAF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Douala/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/Douala</w:t>
            </w:r>
          </w:p>
        </w:tc>
        <w:tc>
          <w:tcPr>
            <w:tcW w:w="2277" w:type="dxa"/>
          </w:tcPr>
          <w:p w:rsidR="00847942" w:rsidRPr="0083637C" w:rsidRDefault="00847942" w:rsidP="006707F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299000 </w:t>
            </w:r>
            <w:r w:rsidRPr="0083637C">
              <w:rPr>
                <w:b/>
                <w:color w:val="000000"/>
                <w:sz w:val="22"/>
                <w:szCs w:val="22"/>
              </w:rPr>
              <w:t>XAF</w:t>
            </w:r>
          </w:p>
        </w:tc>
        <w:tc>
          <w:tcPr>
            <w:tcW w:w="3240" w:type="dxa"/>
          </w:tcPr>
          <w:p w:rsidR="00847942" w:rsidRPr="0083637C" w:rsidRDefault="00847942" w:rsidP="006707F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10900</w:t>
            </w:r>
            <w:r w:rsidRPr="0083637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XAF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Yaoundé/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/Yaoundé</w:t>
            </w:r>
          </w:p>
        </w:tc>
        <w:tc>
          <w:tcPr>
            <w:tcW w:w="2277" w:type="dxa"/>
          </w:tcPr>
          <w:p w:rsidR="00847942" w:rsidRPr="0083637C" w:rsidRDefault="00847942" w:rsidP="006707F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299000 </w:t>
            </w:r>
            <w:r w:rsidRPr="0083637C">
              <w:rPr>
                <w:b/>
                <w:color w:val="000000"/>
                <w:sz w:val="22"/>
                <w:szCs w:val="22"/>
              </w:rPr>
              <w:t>XAF</w:t>
            </w:r>
          </w:p>
        </w:tc>
        <w:tc>
          <w:tcPr>
            <w:tcW w:w="3240" w:type="dxa"/>
          </w:tcPr>
          <w:p w:rsidR="00847942" w:rsidRPr="0083637C" w:rsidRDefault="00847942" w:rsidP="006707F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10900</w:t>
            </w:r>
            <w:r w:rsidRPr="0083637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XAF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Banjul/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/Banjul</w:t>
            </w:r>
          </w:p>
        </w:tc>
        <w:tc>
          <w:tcPr>
            <w:tcW w:w="2277" w:type="dxa"/>
          </w:tcPr>
          <w:p w:rsidR="00847942" w:rsidRPr="00022D8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 USD</w:t>
            </w:r>
          </w:p>
        </w:tc>
        <w:tc>
          <w:tcPr>
            <w:tcW w:w="3240" w:type="dxa"/>
          </w:tcPr>
          <w:p w:rsidR="00847942" w:rsidRPr="00022D8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 USD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</w:rPr>
            </w:pPr>
            <w:r w:rsidRPr="00874AF8">
              <w:rPr>
                <w:i/>
                <w:sz w:val="24"/>
                <w:szCs w:val="24"/>
              </w:rPr>
              <w:t>Freetown/</w:t>
            </w:r>
            <w:r w:rsidR="007167E1">
              <w:rPr>
                <w:i/>
                <w:sz w:val="24"/>
                <w:szCs w:val="24"/>
              </w:rPr>
              <w:t>Agadir</w:t>
            </w:r>
            <w:r w:rsidRPr="00874AF8">
              <w:rPr>
                <w:i/>
                <w:sz w:val="24"/>
                <w:szCs w:val="24"/>
              </w:rPr>
              <w:t>/Freetown</w:t>
            </w:r>
          </w:p>
        </w:tc>
        <w:tc>
          <w:tcPr>
            <w:tcW w:w="2277" w:type="dxa"/>
          </w:tcPr>
          <w:p w:rsidR="00847942" w:rsidRPr="00022D8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450 USD </w:t>
            </w:r>
          </w:p>
        </w:tc>
        <w:tc>
          <w:tcPr>
            <w:tcW w:w="3240" w:type="dxa"/>
          </w:tcPr>
          <w:p w:rsidR="00847942" w:rsidRPr="00022D88" w:rsidRDefault="00847942" w:rsidP="00670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 USD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  <w:lang w:val="en-GB"/>
              </w:rPr>
            </w:pPr>
            <w:r w:rsidRPr="00874AF8">
              <w:rPr>
                <w:i/>
                <w:sz w:val="24"/>
                <w:szCs w:val="24"/>
                <w:lang w:val="en-GB"/>
              </w:rPr>
              <w:t>New York/</w:t>
            </w:r>
            <w:proofErr w:type="spellStart"/>
            <w:r w:rsidR="007167E1">
              <w:rPr>
                <w:i/>
                <w:sz w:val="24"/>
                <w:szCs w:val="24"/>
                <w:lang w:val="en-GB"/>
              </w:rPr>
              <w:t>Agadir</w:t>
            </w:r>
            <w:proofErr w:type="spellEnd"/>
            <w:r w:rsidRPr="00874AF8">
              <w:rPr>
                <w:i/>
                <w:sz w:val="24"/>
                <w:szCs w:val="24"/>
                <w:lang w:val="en-GB"/>
              </w:rPr>
              <w:t>/</w:t>
            </w:r>
            <w:smartTag w:uri="urn:schemas-microsoft-com:office:smarttags" w:element="place">
              <w:smartTag w:uri="urn:schemas-microsoft-com:office:smarttags" w:element="State">
                <w:r w:rsidRPr="00874AF8">
                  <w:rPr>
                    <w:i/>
                    <w:sz w:val="24"/>
                    <w:szCs w:val="24"/>
                    <w:lang w:val="en-GB"/>
                  </w:rPr>
                  <w:t>New York</w:t>
                </w:r>
              </w:smartTag>
            </w:smartTag>
          </w:p>
        </w:tc>
        <w:tc>
          <w:tcPr>
            <w:tcW w:w="2277" w:type="dxa"/>
          </w:tcPr>
          <w:p w:rsidR="00847942" w:rsidRPr="004C606C" w:rsidRDefault="00847942" w:rsidP="006707F3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670 USD</w:t>
            </w:r>
          </w:p>
        </w:tc>
        <w:tc>
          <w:tcPr>
            <w:tcW w:w="3240" w:type="dxa"/>
          </w:tcPr>
          <w:p w:rsidR="00847942" w:rsidRPr="004C606C" w:rsidRDefault="00847942" w:rsidP="006707F3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3500 USD </w:t>
            </w:r>
          </w:p>
        </w:tc>
      </w:tr>
      <w:tr w:rsidR="00847942" w:rsidTr="00333767">
        <w:tc>
          <w:tcPr>
            <w:tcW w:w="5211" w:type="dxa"/>
          </w:tcPr>
          <w:p w:rsidR="00847942" w:rsidRPr="00874AF8" w:rsidRDefault="00847942" w:rsidP="006707F3">
            <w:pPr>
              <w:rPr>
                <w:i/>
                <w:sz w:val="24"/>
                <w:szCs w:val="24"/>
                <w:lang w:val="en-GB"/>
              </w:rPr>
            </w:pPr>
            <w:r w:rsidRPr="00874AF8">
              <w:rPr>
                <w:i/>
                <w:sz w:val="24"/>
                <w:szCs w:val="24"/>
                <w:lang w:val="en-GB"/>
              </w:rPr>
              <w:t>Montréal/</w:t>
            </w:r>
            <w:proofErr w:type="spellStart"/>
            <w:r w:rsidR="007167E1">
              <w:rPr>
                <w:i/>
                <w:sz w:val="24"/>
                <w:szCs w:val="24"/>
                <w:lang w:val="en-GB"/>
              </w:rPr>
              <w:t>Agadir</w:t>
            </w:r>
            <w:proofErr w:type="spellEnd"/>
            <w:r w:rsidRPr="00874AF8">
              <w:rPr>
                <w:i/>
                <w:sz w:val="24"/>
                <w:szCs w:val="24"/>
                <w:lang w:val="en-GB"/>
              </w:rPr>
              <w:t>/Montréal</w:t>
            </w:r>
          </w:p>
        </w:tc>
        <w:tc>
          <w:tcPr>
            <w:tcW w:w="2277" w:type="dxa"/>
          </w:tcPr>
          <w:p w:rsidR="00847942" w:rsidRPr="00022D88" w:rsidRDefault="00847942" w:rsidP="006707F3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750 CAD</w:t>
            </w:r>
          </w:p>
        </w:tc>
        <w:tc>
          <w:tcPr>
            <w:tcW w:w="3240" w:type="dxa"/>
          </w:tcPr>
          <w:p w:rsidR="00847942" w:rsidRPr="00022D88" w:rsidRDefault="00847942" w:rsidP="006707F3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3400 CAD</w:t>
            </w:r>
          </w:p>
        </w:tc>
      </w:tr>
    </w:tbl>
    <w:p w:rsidR="00BF0A8A" w:rsidRPr="00DC1725" w:rsidRDefault="00BF0A8A" w:rsidP="00BF0A8A">
      <w:pPr>
        <w:rPr>
          <w:lang w:val="en-GB"/>
        </w:rPr>
      </w:pPr>
    </w:p>
    <w:p w:rsidR="00BF0A8A" w:rsidRPr="00DC1725" w:rsidRDefault="00BF0A8A" w:rsidP="00BF0A8A">
      <w:pPr>
        <w:rPr>
          <w:lang w:val="en-GB"/>
        </w:rPr>
      </w:pPr>
    </w:p>
    <w:p w:rsidR="00BF0A8A" w:rsidRPr="000C1DE7" w:rsidRDefault="00BF0A8A" w:rsidP="00BF0A8A">
      <w:pPr>
        <w:tabs>
          <w:tab w:val="left" w:pos="3544"/>
        </w:tabs>
        <w:rPr>
          <w:b/>
          <w:i/>
          <w:smallCaps/>
          <w:sz w:val="22"/>
          <w:szCs w:val="22"/>
          <w:u w:val="single"/>
        </w:rPr>
      </w:pPr>
      <w:r w:rsidRPr="000C1DE7">
        <w:rPr>
          <w:b/>
          <w:i/>
          <w:smallCaps/>
          <w:sz w:val="22"/>
          <w:szCs w:val="22"/>
          <w:u w:val="single"/>
        </w:rPr>
        <w:t>2- Conditions d’application des TARIFS PREFERENTIELS « Special events »</w:t>
      </w:r>
    </w:p>
    <w:p w:rsidR="00BF0A8A" w:rsidRPr="000C1DE7" w:rsidRDefault="00BF0A8A" w:rsidP="00BF0A8A">
      <w:pPr>
        <w:rPr>
          <w:rFonts w:ascii="Arial" w:hAnsi="Arial"/>
          <w:b/>
          <w:i/>
          <w:snapToGrid w:val="0"/>
          <w:color w:val="000000"/>
          <w:sz w:val="22"/>
          <w:szCs w:val="22"/>
        </w:rPr>
      </w:pPr>
    </w:p>
    <w:p w:rsidR="00BF0A8A" w:rsidRPr="000C1DE7" w:rsidRDefault="00BF0A8A" w:rsidP="00BF0A8A">
      <w:pPr>
        <w:numPr>
          <w:ilvl w:val="0"/>
          <w:numId w:val="2"/>
        </w:numPr>
        <w:rPr>
          <w:rFonts w:ascii="Arial" w:hAnsi="Arial"/>
          <w:i/>
          <w:sz w:val="22"/>
          <w:szCs w:val="22"/>
        </w:rPr>
      </w:pPr>
      <w:r w:rsidRPr="000C1DE7">
        <w:rPr>
          <w:rFonts w:ascii="Arial" w:hAnsi="Arial"/>
          <w:b/>
          <w:i/>
          <w:sz w:val="22"/>
          <w:szCs w:val="22"/>
        </w:rPr>
        <w:t>Application</w:t>
      </w:r>
      <w:r w:rsidRPr="000C1DE7">
        <w:rPr>
          <w:rFonts w:ascii="Arial" w:hAnsi="Arial"/>
          <w:i/>
          <w:sz w:val="22"/>
          <w:szCs w:val="22"/>
        </w:rPr>
        <w:t xml:space="preserve"> : Voyage aller et retour  vers </w:t>
      </w:r>
      <w:r w:rsidR="00202781">
        <w:rPr>
          <w:rFonts w:ascii="Arial" w:hAnsi="Arial"/>
          <w:i/>
          <w:sz w:val="22"/>
          <w:szCs w:val="22"/>
        </w:rPr>
        <w:t>Agadir</w:t>
      </w:r>
      <w:r>
        <w:rPr>
          <w:rFonts w:ascii="Arial" w:hAnsi="Arial"/>
          <w:i/>
          <w:sz w:val="22"/>
          <w:szCs w:val="22"/>
        </w:rPr>
        <w:t xml:space="preserve"> via Casablanca </w:t>
      </w:r>
      <w:r w:rsidRPr="000C1DE7">
        <w:rPr>
          <w:rFonts w:ascii="Arial" w:hAnsi="Arial"/>
          <w:i/>
          <w:sz w:val="22"/>
          <w:szCs w:val="22"/>
        </w:rPr>
        <w:t>,  effectué sur  les lignes  Royal Air Maroc seulement, en fonction des places disponibles dans la classe tarifaire accordée.</w:t>
      </w:r>
    </w:p>
    <w:p w:rsidR="00BF0A8A" w:rsidRPr="000C1DE7" w:rsidRDefault="00BF0A8A" w:rsidP="00BF0A8A">
      <w:pPr>
        <w:ind w:left="360"/>
        <w:rPr>
          <w:rFonts w:ascii="Arial" w:hAnsi="Arial"/>
          <w:i/>
          <w:sz w:val="22"/>
          <w:szCs w:val="22"/>
        </w:rPr>
      </w:pPr>
    </w:p>
    <w:p w:rsidR="00BF0A8A" w:rsidRDefault="00BF0A8A" w:rsidP="00BF0A8A">
      <w:pPr>
        <w:numPr>
          <w:ilvl w:val="0"/>
          <w:numId w:val="2"/>
        </w:numPr>
        <w:tabs>
          <w:tab w:val="left" w:pos="1985"/>
        </w:tabs>
        <w:rPr>
          <w:rFonts w:ascii="Arial" w:hAnsi="Arial"/>
          <w:i/>
          <w:sz w:val="22"/>
          <w:szCs w:val="22"/>
        </w:rPr>
      </w:pPr>
      <w:r w:rsidRPr="000C1DE7">
        <w:rPr>
          <w:rFonts w:ascii="Arial" w:hAnsi="Arial"/>
          <w:b/>
          <w:i/>
          <w:sz w:val="22"/>
          <w:szCs w:val="22"/>
        </w:rPr>
        <w:t xml:space="preserve">Validité des </w:t>
      </w:r>
      <w:r w:rsidR="00E9059B">
        <w:rPr>
          <w:rFonts w:ascii="Arial" w:hAnsi="Arial"/>
          <w:b/>
          <w:i/>
          <w:sz w:val="22"/>
          <w:szCs w:val="22"/>
        </w:rPr>
        <w:t>tarifs</w:t>
      </w:r>
      <w:r>
        <w:rPr>
          <w:rFonts w:ascii="Arial" w:hAnsi="Arial"/>
          <w:i/>
          <w:sz w:val="22"/>
          <w:szCs w:val="22"/>
        </w:rPr>
        <w:t xml:space="preserve"> : </w:t>
      </w:r>
      <w:r w:rsidR="00E9059B">
        <w:rPr>
          <w:rFonts w:ascii="Arial" w:hAnsi="Arial"/>
          <w:i/>
          <w:sz w:val="22"/>
          <w:szCs w:val="22"/>
        </w:rPr>
        <w:t>Ces tarifs sont valables 0</w:t>
      </w:r>
      <w:r w:rsidR="00333767">
        <w:rPr>
          <w:rFonts w:ascii="Arial" w:hAnsi="Arial"/>
          <w:i/>
          <w:sz w:val="22"/>
          <w:szCs w:val="22"/>
        </w:rPr>
        <w:t>2 jours avant et 02</w:t>
      </w:r>
      <w:r w:rsidR="00E9059B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 xml:space="preserve"> </w:t>
      </w:r>
      <w:r w:rsidR="00E9059B">
        <w:rPr>
          <w:rFonts w:ascii="Arial" w:hAnsi="Arial"/>
          <w:i/>
          <w:sz w:val="22"/>
          <w:szCs w:val="22"/>
        </w:rPr>
        <w:t>jou</w:t>
      </w:r>
      <w:r w:rsidR="00333767">
        <w:rPr>
          <w:rFonts w:ascii="Arial" w:hAnsi="Arial"/>
          <w:i/>
          <w:sz w:val="22"/>
          <w:szCs w:val="22"/>
        </w:rPr>
        <w:t>rs après l’évènement, soit du 06 au 14</w:t>
      </w:r>
      <w:r w:rsidR="00E9059B">
        <w:rPr>
          <w:rFonts w:ascii="Arial" w:hAnsi="Arial"/>
          <w:i/>
          <w:sz w:val="22"/>
          <w:szCs w:val="22"/>
        </w:rPr>
        <w:t>/04/2013</w:t>
      </w:r>
    </w:p>
    <w:p w:rsidR="00BF0A8A" w:rsidRDefault="00BF0A8A" w:rsidP="00BF0A8A">
      <w:pPr>
        <w:pStyle w:val="Paragraphedeliste"/>
        <w:rPr>
          <w:rFonts w:ascii="Arial" w:hAnsi="Arial"/>
          <w:i/>
          <w:sz w:val="22"/>
          <w:szCs w:val="22"/>
        </w:rPr>
      </w:pPr>
    </w:p>
    <w:p w:rsidR="00BF0A8A" w:rsidRPr="00BF0A8A" w:rsidRDefault="00BF0A8A" w:rsidP="00BF0A8A">
      <w:pPr>
        <w:numPr>
          <w:ilvl w:val="0"/>
          <w:numId w:val="2"/>
        </w:numPr>
        <w:tabs>
          <w:tab w:val="left" w:pos="1985"/>
        </w:tabs>
        <w:rPr>
          <w:rFonts w:ascii="Arial" w:hAnsi="Arial"/>
          <w:b/>
          <w:i/>
          <w:sz w:val="22"/>
          <w:szCs w:val="22"/>
        </w:rPr>
      </w:pPr>
      <w:r w:rsidRPr="00BF0A8A">
        <w:rPr>
          <w:rFonts w:ascii="Arial" w:hAnsi="Arial"/>
          <w:b/>
          <w:i/>
          <w:sz w:val="22"/>
          <w:szCs w:val="22"/>
        </w:rPr>
        <w:t>Stop over</w:t>
      </w:r>
      <w:r>
        <w:rPr>
          <w:rFonts w:ascii="Arial" w:hAnsi="Arial"/>
          <w:b/>
          <w:i/>
          <w:sz w:val="22"/>
          <w:szCs w:val="22"/>
        </w:rPr>
        <w:t xml:space="preserve"> : </w:t>
      </w:r>
      <w:r w:rsidRPr="00BF0A8A">
        <w:rPr>
          <w:rFonts w:ascii="Arial" w:hAnsi="Arial"/>
          <w:i/>
          <w:sz w:val="22"/>
          <w:szCs w:val="22"/>
        </w:rPr>
        <w:t>Interdit</w:t>
      </w:r>
    </w:p>
    <w:p w:rsidR="00BF0A8A" w:rsidRPr="000C1DE7" w:rsidRDefault="00BF0A8A" w:rsidP="00BF0A8A">
      <w:pPr>
        <w:tabs>
          <w:tab w:val="left" w:pos="1985"/>
        </w:tabs>
        <w:ind w:left="360"/>
        <w:rPr>
          <w:rFonts w:ascii="Arial" w:hAnsi="Arial"/>
          <w:i/>
          <w:sz w:val="22"/>
          <w:szCs w:val="22"/>
        </w:rPr>
      </w:pPr>
    </w:p>
    <w:p w:rsidR="00BF0A8A" w:rsidRPr="000C1DE7" w:rsidRDefault="00BF0A8A" w:rsidP="00BF0A8A">
      <w:pPr>
        <w:numPr>
          <w:ilvl w:val="0"/>
          <w:numId w:val="2"/>
        </w:numPr>
        <w:tabs>
          <w:tab w:val="left" w:pos="1985"/>
        </w:tabs>
        <w:rPr>
          <w:rFonts w:ascii="Arial" w:hAnsi="Arial"/>
          <w:i/>
          <w:sz w:val="22"/>
          <w:szCs w:val="22"/>
        </w:rPr>
      </w:pPr>
      <w:r w:rsidRPr="000C1DE7">
        <w:rPr>
          <w:rFonts w:ascii="Arial" w:hAnsi="Arial"/>
          <w:b/>
          <w:i/>
          <w:sz w:val="22"/>
          <w:szCs w:val="22"/>
        </w:rPr>
        <w:t>Extension de validité</w:t>
      </w:r>
      <w:r w:rsidRPr="000C1DE7">
        <w:rPr>
          <w:rFonts w:ascii="Arial" w:hAnsi="Arial"/>
          <w:i/>
          <w:sz w:val="22"/>
          <w:szCs w:val="22"/>
        </w:rPr>
        <w:t xml:space="preserve"> : interdite.</w:t>
      </w:r>
    </w:p>
    <w:p w:rsidR="00BF0A8A" w:rsidRPr="000C1DE7" w:rsidRDefault="00BF0A8A" w:rsidP="00BF0A8A">
      <w:pPr>
        <w:ind w:left="360"/>
        <w:rPr>
          <w:rFonts w:ascii="Arial" w:hAnsi="Arial"/>
          <w:i/>
          <w:sz w:val="22"/>
          <w:szCs w:val="22"/>
        </w:rPr>
      </w:pPr>
    </w:p>
    <w:p w:rsidR="00BF0A8A" w:rsidRPr="000C1DE7" w:rsidRDefault="00BF0A8A" w:rsidP="00BF0A8A">
      <w:pPr>
        <w:numPr>
          <w:ilvl w:val="0"/>
          <w:numId w:val="2"/>
        </w:numPr>
        <w:rPr>
          <w:rFonts w:ascii="Arial" w:hAnsi="Arial"/>
          <w:i/>
          <w:sz w:val="22"/>
          <w:szCs w:val="22"/>
        </w:rPr>
      </w:pPr>
      <w:r w:rsidRPr="000C1DE7">
        <w:rPr>
          <w:rFonts w:ascii="Arial" w:hAnsi="Arial"/>
          <w:b/>
          <w:i/>
          <w:sz w:val="22"/>
          <w:szCs w:val="22"/>
        </w:rPr>
        <w:t>Réservation :</w:t>
      </w:r>
      <w:r w:rsidRPr="000C1DE7">
        <w:rPr>
          <w:rFonts w:ascii="Arial" w:hAnsi="Arial"/>
          <w:i/>
          <w:sz w:val="22"/>
          <w:szCs w:val="22"/>
        </w:rPr>
        <w:t xml:space="preserve"> Les réservations doivent être effectuées pour la totalité du  voyage </w:t>
      </w:r>
    </w:p>
    <w:p w:rsidR="00BF0A8A" w:rsidRPr="000C1DE7" w:rsidRDefault="00BF0A8A" w:rsidP="00BF0A8A">
      <w:pPr>
        <w:ind w:left="360"/>
        <w:rPr>
          <w:rFonts w:ascii="Arial" w:hAnsi="Arial"/>
          <w:i/>
          <w:sz w:val="22"/>
          <w:szCs w:val="22"/>
        </w:rPr>
      </w:pPr>
    </w:p>
    <w:p w:rsidR="00BF0A8A" w:rsidRPr="000C1DE7" w:rsidRDefault="00BF0A8A" w:rsidP="00BF0A8A">
      <w:pPr>
        <w:numPr>
          <w:ilvl w:val="0"/>
          <w:numId w:val="2"/>
        </w:numPr>
        <w:rPr>
          <w:rFonts w:ascii="Arial" w:hAnsi="Arial"/>
          <w:i/>
          <w:sz w:val="22"/>
          <w:szCs w:val="22"/>
        </w:rPr>
      </w:pPr>
      <w:r w:rsidRPr="000C1DE7">
        <w:rPr>
          <w:rFonts w:ascii="Arial" w:hAnsi="Arial"/>
          <w:b/>
          <w:i/>
          <w:sz w:val="22"/>
          <w:szCs w:val="22"/>
        </w:rPr>
        <w:t>Emission des billets</w:t>
      </w:r>
      <w:r w:rsidRPr="000C1DE7">
        <w:rPr>
          <w:rFonts w:ascii="Arial" w:hAnsi="Arial"/>
          <w:i/>
          <w:sz w:val="22"/>
          <w:szCs w:val="22"/>
        </w:rPr>
        <w:t xml:space="preserve"> : le règlement et l'émission des billets ou PTA  doivent être effectués exclusivement auprès de l’Agence Royal Air Maroc </w:t>
      </w:r>
    </w:p>
    <w:p w:rsidR="00BF0A8A" w:rsidRPr="000C1DE7" w:rsidRDefault="00BF0A8A" w:rsidP="00BF0A8A">
      <w:pPr>
        <w:jc w:val="both"/>
        <w:rPr>
          <w:rFonts w:ascii="Arial" w:hAnsi="Arial"/>
          <w:i/>
          <w:sz w:val="22"/>
          <w:szCs w:val="22"/>
        </w:rPr>
      </w:pPr>
      <w:r w:rsidRPr="000C1DE7">
        <w:rPr>
          <w:rFonts w:ascii="Arial" w:hAnsi="Arial"/>
          <w:i/>
          <w:sz w:val="22"/>
          <w:szCs w:val="22"/>
        </w:rPr>
        <w:t xml:space="preserve">     Les billets doivent être annotés : NON-REF – NON-ENDOS – VALID RAM ONLY.</w:t>
      </w:r>
    </w:p>
    <w:p w:rsidR="00BF0A8A" w:rsidRPr="000C1DE7" w:rsidRDefault="00BF0A8A" w:rsidP="00BF0A8A">
      <w:pPr>
        <w:jc w:val="both"/>
        <w:rPr>
          <w:rFonts w:ascii="Arial" w:hAnsi="Arial"/>
          <w:i/>
          <w:sz w:val="22"/>
          <w:szCs w:val="22"/>
        </w:rPr>
      </w:pPr>
    </w:p>
    <w:p w:rsidR="00BF0A8A" w:rsidRPr="000C1DE7" w:rsidRDefault="00BF0A8A" w:rsidP="00BF0A8A">
      <w:pPr>
        <w:numPr>
          <w:ilvl w:val="0"/>
          <w:numId w:val="3"/>
        </w:numPr>
        <w:tabs>
          <w:tab w:val="left" w:pos="1985"/>
        </w:tabs>
        <w:jc w:val="both"/>
        <w:rPr>
          <w:rFonts w:ascii="Arial" w:hAnsi="Arial"/>
          <w:i/>
          <w:sz w:val="22"/>
          <w:szCs w:val="22"/>
        </w:rPr>
      </w:pPr>
      <w:r w:rsidRPr="000C1DE7">
        <w:rPr>
          <w:rFonts w:ascii="Arial" w:hAnsi="Arial"/>
          <w:b/>
          <w:i/>
          <w:sz w:val="22"/>
          <w:szCs w:val="22"/>
        </w:rPr>
        <w:t>Changement de réservation</w:t>
      </w:r>
      <w:r w:rsidRPr="000C1DE7">
        <w:rPr>
          <w:rFonts w:ascii="Arial" w:hAnsi="Arial"/>
          <w:i/>
          <w:sz w:val="22"/>
          <w:szCs w:val="22"/>
        </w:rPr>
        <w:t xml:space="preserve"> : un seul changement de réservation est autorisé pour la totalité du voyage moyennant le règlement d’une pénalité de </w:t>
      </w:r>
      <w:r>
        <w:rPr>
          <w:rFonts w:ascii="Arial" w:hAnsi="Arial"/>
          <w:i/>
          <w:sz w:val="22"/>
          <w:szCs w:val="22"/>
        </w:rPr>
        <w:t xml:space="preserve"> 50 Euros ou de 7</w:t>
      </w:r>
      <w:r w:rsidRPr="000C1DE7">
        <w:rPr>
          <w:rFonts w:ascii="Arial" w:hAnsi="Arial"/>
          <w:i/>
          <w:sz w:val="22"/>
          <w:szCs w:val="22"/>
        </w:rPr>
        <w:t xml:space="preserve">0 Euros </w:t>
      </w:r>
      <w:r>
        <w:rPr>
          <w:rFonts w:ascii="Arial" w:hAnsi="Arial"/>
          <w:i/>
          <w:sz w:val="22"/>
          <w:szCs w:val="22"/>
        </w:rPr>
        <w:t>ou équivalent en mo</w:t>
      </w:r>
      <w:r w:rsidR="002A3322">
        <w:rPr>
          <w:rFonts w:ascii="Arial" w:hAnsi="Arial"/>
          <w:i/>
          <w:sz w:val="22"/>
          <w:szCs w:val="22"/>
        </w:rPr>
        <w:t>nnaie locale selon les marchés.</w:t>
      </w:r>
    </w:p>
    <w:p w:rsidR="00BF0A8A" w:rsidRPr="000C1DE7" w:rsidRDefault="00BF0A8A" w:rsidP="00BF0A8A">
      <w:pPr>
        <w:tabs>
          <w:tab w:val="left" w:pos="1985"/>
        </w:tabs>
        <w:ind w:left="360"/>
        <w:jc w:val="both"/>
        <w:rPr>
          <w:rFonts w:ascii="Arial" w:hAnsi="Arial"/>
          <w:i/>
          <w:sz w:val="22"/>
          <w:szCs w:val="22"/>
        </w:rPr>
      </w:pPr>
    </w:p>
    <w:p w:rsidR="00BF0A8A" w:rsidRPr="000C1DE7" w:rsidRDefault="00BF0A8A" w:rsidP="00BF0A8A">
      <w:pPr>
        <w:numPr>
          <w:ilvl w:val="0"/>
          <w:numId w:val="3"/>
        </w:numPr>
        <w:ind w:left="426"/>
        <w:jc w:val="both"/>
        <w:rPr>
          <w:i/>
          <w:sz w:val="22"/>
          <w:szCs w:val="22"/>
        </w:rPr>
      </w:pPr>
      <w:r w:rsidRPr="000C1DE7">
        <w:rPr>
          <w:rFonts w:ascii="Arial" w:hAnsi="Arial"/>
          <w:b/>
          <w:i/>
          <w:sz w:val="22"/>
          <w:szCs w:val="22"/>
          <w:u w:val="single"/>
        </w:rPr>
        <w:t>Code billet</w:t>
      </w:r>
      <w:r w:rsidRPr="000C1DE7">
        <w:rPr>
          <w:rFonts w:ascii="Arial" w:hAnsi="Arial"/>
          <w:i/>
          <w:sz w:val="22"/>
          <w:szCs w:val="22"/>
        </w:rPr>
        <w:t xml:space="preserve"> : Y : Kevent</w:t>
      </w:r>
      <w:r>
        <w:rPr>
          <w:rFonts w:ascii="Arial" w:hAnsi="Arial"/>
          <w:i/>
          <w:sz w:val="22"/>
          <w:szCs w:val="22"/>
        </w:rPr>
        <w:t>14</w:t>
      </w:r>
      <w:r w:rsidRPr="000C1DE7">
        <w:rPr>
          <w:rFonts w:ascii="Arial" w:hAnsi="Arial"/>
          <w:i/>
          <w:sz w:val="22"/>
          <w:szCs w:val="22"/>
        </w:rPr>
        <w:t xml:space="preserve">       Code résa :   K</w:t>
      </w:r>
      <w:r w:rsidRPr="000C1DE7">
        <w:rPr>
          <w:rFonts w:ascii="Arial" w:hAnsi="Arial"/>
          <w:i/>
          <w:sz w:val="22"/>
          <w:szCs w:val="22"/>
        </w:rPr>
        <w:tab/>
        <w:t xml:space="preserve">  C :</w:t>
      </w:r>
      <w:r w:rsidR="00202781">
        <w:rPr>
          <w:rFonts w:ascii="Arial" w:hAnsi="Arial"/>
          <w:i/>
          <w:sz w:val="22"/>
          <w:szCs w:val="22"/>
        </w:rPr>
        <w:t xml:space="preserve"> </w:t>
      </w:r>
      <w:r w:rsidRPr="000C1DE7">
        <w:rPr>
          <w:rFonts w:ascii="Arial" w:hAnsi="Arial"/>
          <w:i/>
          <w:sz w:val="22"/>
          <w:szCs w:val="22"/>
        </w:rPr>
        <w:t>Cevent</w:t>
      </w:r>
      <w:r>
        <w:rPr>
          <w:rFonts w:ascii="Arial" w:hAnsi="Arial"/>
          <w:i/>
          <w:sz w:val="22"/>
          <w:szCs w:val="22"/>
        </w:rPr>
        <w:t xml:space="preserve">14   </w:t>
      </w:r>
      <w:r w:rsidRPr="000C1DE7">
        <w:rPr>
          <w:rFonts w:ascii="Arial" w:hAnsi="Arial"/>
          <w:i/>
          <w:sz w:val="22"/>
          <w:szCs w:val="22"/>
        </w:rPr>
        <w:t xml:space="preserve">Code résa :C          </w:t>
      </w:r>
    </w:p>
    <w:p w:rsidR="00BF0A8A" w:rsidRDefault="00BF0A8A" w:rsidP="00BF0A8A">
      <w:pPr>
        <w:jc w:val="both"/>
        <w:rPr>
          <w:rFonts w:ascii="Arial" w:hAnsi="Arial"/>
          <w:i/>
          <w:sz w:val="22"/>
          <w:szCs w:val="22"/>
        </w:rPr>
      </w:pPr>
    </w:p>
    <w:p w:rsidR="00BF0A8A" w:rsidRDefault="00BF0A8A" w:rsidP="00BF0A8A">
      <w:pPr>
        <w:jc w:val="both"/>
        <w:rPr>
          <w:rFonts w:ascii="Arial" w:hAnsi="Arial"/>
          <w:i/>
          <w:sz w:val="22"/>
          <w:szCs w:val="22"/>
        </w:rPr>
      </w:pPr>
    </w:p>
    <w:p w:rsidR="00BF0A8A" w:rsidRDefault="00BF0A8A" w:rsidP="00BF0A8A"/>
    <w:p w:rsidR="00BF0A8A" w:rsidRDefault="00BF0A8A" w:rsidP="00BF0A8A"/>
    <w:p w:rsidR="00B716E9" w:rsidRDefault="00B716E9" w:rsidP="00BF0A8A"/>
    <w:p w:rsidR="002A3322" w:rsidRDefault="002A3322" w:rsidP="00BF0A8A"/>
    <w:p w:rsidR="002A3322" w:rsidRDefault="002A3322" w:rsidP="00BF0A8A"/>
    <w:p w:rsidR="002A3322" w:rsidRDefault="002A3322" w:rsidP="00BF0A8A"/>
    <w:p w:rsidR="002A3322" w:rsidRDefault="002A3322" w:rsidP="00BF0A8A"/>
    <w:p w:rsidR="002A3322" w:rsidRDefault="002A3322" w:rsidP="00BF0A8A"/>
    <w:p w:rsidR="002A3322" w:rsidRDefault="002A3322" w:rsidP="00BF0A8A"/>
    <w:p w:rsidR="002A3322" w:rsidRDefault="002A3322" w:rsidP="00BF0A8A"/>
    <w:p w:rsidR="002A3322" w:rsidRDefault="002A3322" w:rsidP="00BF0A8A"/>
    <w:p w:rsidR="002A3322" w:rsidRDefault="002A3322" w:rsidP="00BF0A8A"/>
    <w:p w:rsidR="002A3322" w:rsidRDefault="002A3322" w:rsidP="00BF0A8A">
      <w:r>
        <w:t xml:space="preserve">Tarifs confidentiels à présenter uniquement auprès d’une agence propre à Royal Air Maroc                                         </w:t>
      </w:r>
    </w:p>
    <w:sectPr w:rsidR="002A3322" w:rsidSect="00DC172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2BD4"/>
    <w:multiLevelType w:val="hybridMultilevel"/>
    <w:tmpl w:val="3EF2523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F31601"/>
    <w:multiLevelType w:val="hybridMultilevel"/>
    <w:tmpl w:val="5CAA494E"/>
    <w:lvl w:ilvl="0" w:tplc="350C8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32075"/>
    <w:multiLevelType w:val="singleLevel"/>
    <w:tmpl w:val="55E49D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DFA305A"/>
    <w:multiLevelType w:val="hybridMultilevel"/>
    <w:tmpl w:val="68DEAC4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hyphenationZone w:val="425"/>
  <w:characterSpacingControl w:val="doNotCompress"/>
  <w:compat/>
  <w:rsids>
    <w:rsidRoot w:val="00B716E9"/>
    <w:rsid w:val="00004F11"/>
    <w:rsid w:val="00022D88"/>
    <w:rsid w:val="00202781"/>
    <w:rsid w:val="002A3322"/>
    <w:rsid w:val="002B4872"/>
    <w:rsid w:val="00333767"/>
    <w:rsid w:val="00344BB0"/>
    <w:rsid w:val="003A44F8"/>
    <w:rsid w:val="00474805"/>
    <w:rsid w:val="004F5590"/>
    <w:rsid w:val="00557EBC"/>
    <w:rsid w:val="00570379"/>
    <w:rsid w:val="00596698"/>
    <w:rsid w:val="005F0FCD"/>
    <w:rsid w:val="006E2070"/>
    <w:rsid w:val="007032F0"/>
    <w:rsid w:val="007167E1"/>
    <w:rsid w:val="00734C63"/>
    <w:rsid w:val="00743F39"/>
    <w:rsid w:val="00847942"/>
    <w:rsid w:val="00874AF8"/>
    <w:rsid w:val="008C5601"/>
    <w:rsid w:val="009739CE"/>
    <w:rsid w:val="00A029DB"/>
    <w:rsid w:val="00A52E11"/>
    <w:rsid w:val="00B716E9"/>
    <w:rsid w:val="00BC6124"/>
    <w:rsid w:val="00BD0DCD"/>
    <w:rsid w:val="00BF0A8A"/>
    <w:rsid w:val="00DC1725"/>
    <w:rsid w:val="00E10C5D"/>
    <w:rsid w:val="00E9059B"/>
    <w:rsid w:val="00E92EFB"/>
    <w:rsid w:val="00ED1F76"/>
    <w:rsid w:val="00F6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16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716E9"/>
    <w:rPr>
      <w:rFonts w:ascii="Arial" w:hAnsi="Arial"/>
      <w:b/>
      <w:i/>
      <w:smallCaps/>
      <w:sz w:val="28"/>
    </w:rPr>
  </w:style>
  <w:style w:type="paragraph" w:customStyle="1" w:styleId="CharChar">
    <w:name w:val="Char Char"/>
    <w:basedOn w:val="Normal"/>
    <w:rsid w:val="00B716E9"/>
    <w:pPr>
      <w:spacing w:after="160" w:line="240" w:lineRule="exact"/>
    </w:pPr>
    <w:rPr>
      <w:rFonts w:ascii="Tahoma" w:hAnsi="Tahoma"/>
      <w:lang w:val="en-US" w:eastAsia="en-US"/>
    </w:rPr>
  </w:style>
  <w:style w:type="table" w:styleId="Grilledutableau">
    <w:name w:val="Table Grid"/>
    <w:basedOn w:val="TableauNormal"/>
    <w:rsid w:val="00B71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4F11"/>
    <w:pPr>
      <w:ind w:left="708"/>
    </w:pPr>
  </w:style>
  <w:style w:type="paragraph" w:styleId="Pieddepage">
    <w:name w:val="footer"/>
    <w:basedOn w:val="Normal"/>
    <w:link w:val="PieddepageCar"/>
    <w:rsid w:val="00004F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04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82B803EC878419D80A3787B559861" ma:contentTypeVersion="1" ma:contentTypeDescription="Create a new document." ma:contentTypeScope="" ma:versionID="eb0f5d9ca51232c91457caaa64b217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22A16-D1E3-493C-8B17-1003C061DC88}"/>
</file>

<file path=customXml/itemProps2.xml><?xml version="1.0" encoding="utf-8"?>
<ds:datastoreItem xmlns:ds="http://schemas.openxmlformats.org/officeDocument/2006/customXml" ds:itemID="{BA687E2A-A834-408F-90F7-E1A1A2347300}"/>
</file>

<file path=customXml/itemProps3.xml><?xml version="1.0" encoding="utf-8"?>
<ds:datastoreItem xmlns:ds="http://schemas.openxmlformats.org/officeDocument/2006/customXml" ds:itemID="{43E8032E-2E99-43B2-B1DA-01F832F32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TARIFS PREFERETIELS EN FAVEUR DES PARTICIPANTS AU 5EME SALON INTERNATIONAL DU CUIR – MAROCUIR – DU 04 AU 06 OCTOBRE 2012</vt:lpstr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TARIFS PREFERETIELS EN FAVEUR DES PARTICIPANTS AU 5EME SALON INTERNATIONAL DU CUIR – MAROCUIR – DU 04 AU 06 OCTOBRE 2012</dc:title>
  <dc:creator>kzailachi</dc:creator>
  <cp:lastModifiedBy>kzailachi</cp:lastModifiedBy>
  <cp:revision>6</cp:revision>
  <cp:lastPrinted>2013-03-20T14:41:00Z</cp:lastPrinted>
  <dcterms:created xsi:type="dcterms:W3CDTF">2013-01-23T13:51:00Z</dcterms:created>
  <dcterms:modified xsi:type="dcterms:W3CDTF">2013-03-20T14:41:00Z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0x010100E4382B803EC878419D80A3787B559861</vt:lpwstr>
  </property>
</Properties>
</file>