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enett"/>
        <w:tblW w:w="9016" w:type="dxa"/>
        <w:tblLook w:val="04A0" w:firstRow="1" w:lastRow="0" w:firstColumn="1" w:lastColumn="0" w:noHBand="0" w:noVBand="1"/>
      </w:tblPr>
      <w:tblGrid>
        <w:gridCol w:w="2254"/>
        <w:gridCol w:w="2254"/>
        <w:gridCol w:w="2254"/>
        <w:gridCol w:w="2254"/>
      </w:tblGrid>
      <w:tr w:rsidR="00235FB4" w:rsidTr="006D58D8">
        <w:tc>
          <w:tcPr>
            <w:tcW w:w="2254" w:type="dxa"/>
            <w:shd w:val="clear" w:color="auto" w:fill="E7E6E6" w:themeFill="background2"/>
          </w:tcPr>
          <w:p w:rsidR="00235FB4" w:rsidRPr="00B1206F" w:rsidRDefault="00235FB4" w:rsidP="00235FB4">
            <w:pPr>
              <w:rPr>
                <w:sz w:val="22"/>
                <w:lang w:val="en-US"/>
              </w:rPr>
            </w:pPr>
            <w:r w:rsidRPr="00B1206F">
              <w:rPr>
                <w:sz w:val="22"/>
                <w:lang w:val="en-US"/>
              </w:rPr>
              <w:t>Paragraph</w:t>
            </w:r>
          </w:p>
        </w:tc>
        <w:tc>
          <w:tcPr>
            <w:tcW w:w="2254" w:type="dxa"/>
            <w:shd w:val="clear" w:color="auto" w:fill="E7E6E6" w:themeFill="background2"/>
          </w:tcPr>
          <w:p w:rsidR="00235FB4" w:rsidRPr="00B1206F" w:rsidRDefault="00235FB4" w:rsidP="00235FB4">
            <w:pPr>
              <w:rPr>
                <w:sz w:val="22"/>
                <w:lang w:val="en-US"/>
              </w:rPr>
            </w:pPr>
            <w:r w:rsidRPr="00B1206F">
              <w:rPr>
                <w:sz w:val="22"/>
                <w:lang w:val="en-US"/>
              </w:rPr>
              <w:t>Current text</w:t>
            </w:r>
          </w:p>
        </w:tc>
        <w:tc>
          <w:tcPr>
            <w:tcW w:w="2254" w:type="dxa"/>
            <w:shd w:val="clear" w:color="auto" w:fill="E7E6E6" w:themeFill="background2"/>
          </w:tcPr>
          <w:p w:rsidR="00235FB4" w:rsidRPr="00B1206F" w:rsidRDefault="00235FB4" w:rsidP="00235FB4">
            <w:pPr>
              <w:rPr>
                <w:sz w:val="22"/>
                <w:lang w:val="en-US"/>
              </w:rPr>
            </w:pPr>
            <w:r w:rsidRPr="00B1206F">
              <w:rPr>
                <w:sz w:val="22"/>
                <w:lang w:val="en-US"/>
              </w:rPr>
              <w:t>Suggested amendment</w:t>
            </w:r>
          </w:p>
        </w:tc>
        <w:tc>
          <w:tcPr>
            <w:tcW w:w="2254" w:type="dxa"/>
            <w:shd w:val="clear" w:color="auto" w:fill="E7E6E6" w:themeFill="background2"/>
          </w:tcPr>
          <w:p w:rsidR="00235FB4" w:rsidRPr="00B1206F" w:rsidRDefault="00235FB4" w:rsidP="00235FB4">
            <w:pPr>
              <w:rPr>
                <w:sz w:val="22"/>
                <w:lang w:val="en-US"/>
              </w:rPr>
            </w:pPr>
            <w:r w:rsidRPr="00B1206F">
              <w:rPr>
                <w:sz w:val="22"/>
                <w:lang w:val="en-US"/>
              </w:rPr>
              <w:t>Rationale</w:t>
            </w:r>
          </w:p>
        </w:tc>
      </w:tr>
      <w:tr w:rsidR="00435D81" w:rsidRPr="00B07E4B" w:rsidTr="006D58D8">
        <w:tc>
          <w:tcPr>
            <w:tcW w:w="9016" w:type="dxa"/>
            <w:gridSpan w:val="4"/>
            <w:shd w:val="clear" w:color="auto" w:fill="A8D08D" w:themeFill="accent6" w:themeFillTint="99"/>
          </w:tcPr>
          <w:p w:rsidR="002A7951" w:rsidRPr="00435D81" w:rsidRDefault="00C955F7" w:rsidP="00435D81">
            <w:pPr>
              <w:jc w:val="both"/>
              <w:rPr>
                <w:b/>
                <w:sz w:val="22"/>
                <w:lang w:val="en-US"/>
              </w:rPr>
            </w:pPr>
            <w:r>
              <w:rPr>
                <w:b/>
                <w:sz w:val="22"/>
                <w:lang w:val="en-US"/>
              </w:rPr>
              <w:t xml:space="preserve">Subscription to the Paris agreement: </w:t>
            </w:r>
            <w:r w:rsidR="00CB3A5E" w:rsidRPr="00435D81">
              <w:rPr>
                <w:b/>
                <w:sz w:val="22"/>
                <w:lang w:val="en-US"/>
              </w:rPr>
              <w:t xml:space="preserve">Lack of clarity that international aviation will do its fair share to reach the temperature goals in the Paris Agreement </w:t>
            </w:r>
          </w:p>
          <w:p w:rsidR="00435D81" w:rsidRPr="00B1206F" w:rsidRDefault="00435D81" w:rsidP="00235FB4">
            <w:pPr>
              <w:rPr>
                <w:sz w:val="22"/>
                <w:lang w:val="en-US"/>
              </w:rPr>
            </w:pPr>
          </w:p>
        </w:tc>
      </w:tr>
      <w:tr w:rsidR="009243DB" w:rsidRPr="00B07E4B" w:rsidTr="006D58D8">
        <w:tc>
          <w:tcPr>
            <w:tcW w:w="2254" w:type="dxa"/>
          </w:tcPr>
          <w:p w:rsidR="009243DB" w:rsidRPr="00CB5AEA" w:rsidRDefault="009243DB" w:rsidP="00435D81">
            <w:pPr>
              <w:rPr>
                <w:sz w:val="22"/>
                <w:lang w:val="en-US"/>
              </w:rPr>
            </w:pPr>
          </w:p>
        </w:tc>
        <w:tc>
          <w:tcPr>
            <w:tcW w:w="2254" w:type="dxa"/>
          </w:tcPr>
          <w:p w:rsidR="009243DB" w:rsidRPr="00BA1445" w:rsidRDefault="009243DB" w:rsidP="00BA1445">
            <w:pPr>
              <w:pStyle w:val="Default"/>
              <w:rPr>
                <w:sz w:val="22"/>
                <w:szCs w:val="22"/>
                <w:lang w:val="en-US"/>
              </w:rPr>
            </w:pPr>
          </w:p>
        </w:tc>
        <w:tc>
          <w:tcPr>
            <w:tcW w:w="2254" w:type="dxa"/>
          </w:tcPr>
          <w:p w:rsidR="009243DB" w:rsidRPr="00BA1445" w:rsidRDefault="009243DB" w:rsidP="00BA1445">
            <w:pPr>
              <w:pStyle w:val="Default"/>
              <w:rPr>
                <w:sz w:val="22"/>
                <w:szCs w:val="22"/>
                <w:lang w:val="en-US"/>
              </w:rPr>
            </w:pPr>
          </w:p>
        </w:tc>
        <w:tc>
          <w:tcPr>
            <w:tcW w:w="2254" w:type="dxa"/>
          </w:tcPr>
          <w:p w:rsidR="009243DB" w:rsidRPr="002E6E46" w:rsidRDefault="009243DB" w:rsidP="00435D81">
            <w:pPr>
              <w:spacing w:after="249" w:line="247" w:lineRule="auto"/>
              <w:jc w:val="both"/>
              <w:rPr>
                <w:sz w:val="22"/>
                <w:lang w:val="en-US"/>
              </w:rPr>
            </w:pPr>
          </w:p>
        </w:tc>
      </w:tr>
      <w:tr w:rsidR="00BB2DCF" w:rsidRPr="00B07E4B" w:rsidTr="006D58D8">
        <w:tc>
          <w:tcPr>
            <w:tcW w:w="2254" w:type="dxa"/>
          </w:tcPr>
          <w:p w:rsidR="00BB2DCF" w:rsidRPr="00CB5AEA" w:rsidRDefault="00BB2DCF" w:rsidP="00BB2DCF">
            <w:pPr>
              <w:rPr>
                <w:sz w:val="22"/>
                <w:lang w:val="en-US"/>
              </w:rPr>
            </w:pPr>
          </w:p>
        </w:tc>
        <w:tc>
          <w:tcPr>
            <w:tcW w:w="2254" w:type="dxa"/>
          </w:tcPr>
          <w:p w:rsidR="00BB2DCF" w:rsidRPr="00741628" w:rsidRDefault="00BB2DCF" w:rsidP="00BB2DCF">
            <w:pPr>
              <w:pStyle w:val="Default"/>
              <w:rPr>
                <w:sz w:val="22"/>
                <w:szCs w:val="22"/>
                <w:lang w:val="en-US"/>
              </w:rPr>
            </w:pPr>
            <w:r w:rsidRPr="00741628">
              <w:rPr>
                <w:sz w:val="22"/>
                <w:szCs w:val="22"/>
                <w:lang w:val="en-US"/>
              </w:rPr>
              <w:t xml:space="preserve"> </w:t>
            </w:r>
          </w:p>
          <w:p w:rsidR="00BB2DCF" w:rsidRPr="002E6E46" w:rsidRDefault="00BB2DCF" w:rsidP="00435D81">
            <w:pPr>
              <w:spacing w:after="249" w:line="247" w:lineRule="auto"/>
              <w:jc w:val="both"/>
              <w:rPr>
                <w:sz w:val="22"/>
                <w:lang w:val="en-US"/>
              </w:rPr>
            </w:pPr>
          </w:p>
        </w:tc>
        <w:tc>
          <w:tcPr>
            <w:tcW w:w="2254" w:type="dxa"/>
          </w:tcPr>
          <w:p w:rsidR="00BB2DCF" w:rsidRPr="00BB2DCF" w:rsidRDefault="00BB2DCF" w:rsidP="00926EBF">
            <w:pPr>
              <w:pStyle w:val="Default"/>
              <w:rPr>
                <w:sz w:val="22"/>
                <w:szCs w:val="22"/>
                <w:lang w:val="en-US"/>
              </w:rPr>
            </w:pPr>
            <w:r w:rsidRPr="00741628">
              <w:rPr>
                <w:sz w:val="22"/>
                <w:szCs w:val="22"/>
                <w:lang w:val="en-US"/>
              </w:rPr>
              <w:t xml:space="preserve"> </w:t>
            </w:r>
          </w:p>
        </w:tc>
        <w:tc>
          <w:tcPr>
            <w:tcW w:w="2254" w:type="dxa"/>
          </w:tcPr>
          <w:p w:rsidR="00BB2DCF" w:rsidRPr="002E6E46" w:rsidRDefault="00BB2DCF" w:rsidP="00844C4D">
            <w:pPr>
              <w:spacing w:after="249" w:line="247" w:lineRule="auto"/>
              <w:jc w:val="both"/>
              <w:rPr>
                <w:sz w:val="22"/>
                <w:lang w:val="en-US"/>
              </w:rPr>
            </w:pPr>
          </w:p>
        </w:tc>
      </w:tr>
      <w:tr w:rsidR="00435D81" w:rsidRPr="00B07E4B" w:rsidTr="006D58D8">
        <w:tc>
          <w:tcPr>
            <w:tcW w:w="2254" w:type="dxa"/>
          </w:tcPr>
          <w:p w:rsidR="00435D81" w:rsidRPr="002E6E46" w:rsidRDefault="00435D81" w:rsidP="00435D81">
            <w:pPr>
              <w:rPr>
                <w:sz w:val="22"/>
                <w:lang w:val="en-US"/>
              </w:rPr>
            </w:pPr>
          </w:p>
        </w:tc>
        <w:tc>
          <w:tcPr>
            <w:tcW w:w="2254" w:type="dxa"/>
          </w:tcPr>
          <w:p w:rsidR="00435D81" w:rsidRPr="002E6E46" w:rsidRDefault="00435D81" w:rsidP="00435D81">
            <w:pPr>
              <w:spacing w:after="249" w:line="247" w:lineRule="auto"/>
              <w:jc w:val="both"/>
              <w:rPr>
                <w:sz w:val="22"/>
                <w:lang w:val="en-US"/>
              </w:rPr>
            </w:pPr>
          </w:p>
        </w:tc>
        <w:tc>
          <w:tcPr>
            <w:tcW w:w="2254" w:type="dxa"/>
          </w:tcPr>
          <w:p w:rsidR="00435D81" w:rsidRPr="002E6E46" w:rsidRDefault="00435D81" w:rsidP="00277FB7">
            <w:pPr>
              <w:spacing w:after="249" w:line="247" w:lineRule="auto"/>
              <w:jc w:val="both"/>
              <w:rPr>
                <w:b/>
                <w:sz w:val="22"/>
                <w:lang w:val="en-US"/>
              </w:rPr>
            </w:pPr>
          </w:p>
        </w:tc>
        <w:tc>
          <w:tcPr>
            <w:tcW w:w="2254" w:type="dxa"/>
          </w:tcPr>
          <w:p w:rsidR="00435D81" w:rsidRPr="002E6E46" w:rsidRDefault="00435D81" w:rsidP="00926EBF">
            <w:pPr>
              <w:spacing w:after="249" w:line="247" w:lineRule="auto"/>
              <w:jc w:val="both"/>
              <w:rPr>
                <w:sz w:val="22"/>
                <w:lang w:val="en-US"/>
              </w:rPr>
            </w:pPr>
          </w:p>
        </w:tc>
      </w:tr>
      <w:tr w:rsidR="00C955F7" w:rsidRPr="00B07E4B" w:rsidTr="006D58D8">
        <w:tc>
          <w:tcPr>
            <w:tcW w:w="2254" w:type="dxa"/>
          </w:tcPr>
          <w:p w:rsidR="00C955F7" w:rsidRPr="00715B2E" w:rsidRDefault="00C955F7" w:rsidP="00C955F7">
            <w:pPr>
              <w:rPr>
                <w:sz w:val="22"/>
                <w:lang w:val="en-US"/>
              </w:rPr>
            </w:pPr>
            <w:proofErr w:type="spellStart"/>
            <w:r w:rsidRPr="00715B2E">
              <w:rPr>
                <w:sz w:val="22"/>
                <w:lang w:val="en-US"/>
              </w:rPr>
              <w:t>Preambular</w:t>
            </w:r>
            <w:proofErr w:type="spellEnd"/>
            <w:r w:rsidRPr="00715B2E">
              <w:rPr>
                <w:sz w:val="22"/>
                <w:lang w:val="en-US"/>
              </w:rPr>
              <w:t xml:space="preserve"> para 13</w:t>
            </w:r>
          </w:p>
        </w:tc>
        <w:tc>
          <w:tcPr>
            <w:tcW w:w="2254" w:type="dxa"/>
          </w:tcPr>
          <w:p w:rsidR="00C955F7" w:rsidRPr="00715B2E" w:rsidRDefault="00C955F7" w:rsidP="00C955F7">
            <w:pPr>
              <w:rPr>
                <w:sz w:val="22"/>
                <w:lang w:val="en-US"/>
              </w:rPr>
            </w:pPr>
            <w:r w:rsidRPr="00715B2E">
              <w:rPr>
                <w:i/>
                <w:iCs/>
                <w:sz w:val="22"/>
                <w:lang w:val="en-US"/>
              </w:rPr>
              <w:t xml:space="preserve">Welcoming </w:t>
            </w:r>
            <w:r w:rsidRPr="00715B2E">
              <w:rPr>
                <w:sz w:val="22"/>
                <w:lang w:val="en-US"/>
              </w:rPr>
              <w:t xml:space="preserve">the adoption of the Paris Agreement under the UNFCCC and </w:t>
            </w:r>
            <w:r w:rsidRPr="00715B2E">
              <w:rPr>
                <w:i/>
                <w:iCs/>
                <w:sz w:val="22"/>
                <w:lang w:val="en-US"/>
              </w:rPr>
              <w:t xml:space="preserve">recognizing </w:t>
            </w:r>
            <w:r w:rsidRPr="00715B2E">
              <w:rPr>
                <w:sz w:val="22"/>
                <w:lang w:val="en-US"/>
              </w:rPr>
              <w:t>that the work related to a global MBM scheme for international aviation and its implementation will contribute to the achievement of the goals set out in the Paris Agreement;</w:t>
            </w:r>
          </w:p>
        </w:tc>
        <w:tc>
          <w:tcPr>
            <w:tcW w:w="2254" w:type="dxa"/>
          </w:tcPr>
          <w:p w:rsidR="00C955F7" w:rsidRPr="00715B2E" w:rsidRDefault="00C955F7" w:rsidP="00C955F7">
            <w:pPr>
              <w:rPr>
                <w:sz w:val="22"/>
                <w:lang w:val="en-US"/>
              </w:rPr>
            </w:pPr>
            <w:r w:rsidRPr="00715B2E">
              <w:rPr>
                <w:i/>
                <w:iCs/>
                <w:sz w:val="22"/>
                <w:lang w:val="en-US"/>
              </w:rPr>
              <w:t xml:space="preserve">Welcoming </w:t>
            </w:r>
            <w:r w:rsidRPr="00715B2E">
              <w:rPr>
                <w:sz w:val="22"/>
                <w:lang w:val="en-US"/>
              </w:rPr>
              <w:t xml:space="preserve">the adoption of the Paris Agreement under the UNFCCC and </w:t>
            </w:r>
            <w:r w:rsidRPr="00715B2E">
              <w:rPr>
                <w:i/>
                <w:iCs/>
                <w:sz w:val="22"/>
                <w:lang w:val="en-US"/>
              </w:rPr>
              <w:t xml:space="preserve">recognizing </w:t>
            </w:r>
            <w:r w:rsidRPr="00715B2E">
              <w:rPr>
                <w:sz w:val="22"/>
                <w:lang w:val="en-US"/>
              </w:rPr>
              <w:t xml:space="preserve">that the work related to a global MBM scheme for international aviation and its implementation will </w:t>
            </w:r>
            <w:r w:rsidRPr="00715B2E">
              <w:rPr>
                <w:b/>
                <w:sz w:val="22"/>
                <w:lang w:val="en-US"/>
              </w:rPr>
              <w:t xml:space="preserve">ensure that international aviation </w:t>
            </w:r>
            <w:r>
              <w:rPr>
                <w:b/>
                <w:sz w:val="22"/>
                <w:lang w:val="en-US"/>
              </w:rPr>
              <w:t>contributes</w:t>
            </w:r>
            <w:r w:rsidRPr="00715B2E">
              <w:rPr>
                <w:b/>
                <w:sz w:val="22"/>
                <w:lang w:val="en-US"/>
              </w:rPr>
              <w:t xml:space="preserve"> its fair share </w:t>
            </w:r>
            <w:r w:rsidRPr="00715B2E">
              <w:rPr>
                <w:strike/>
                <w:sz w:val="22"/>
                <w:lang w:val="en-US"/>
              </w:rPr>
              <w:t>contribute</w:t>
            </w:r>
            <w:r w:rsidRPr="00715B2E">
              <w:rPr>
                <w:sz w:val="22"/>
                <w:lang w:val="en-US"/>
              </w:rPr>
              <w:t xml:space="preserve"> to the achievement of the </w:t>
            </w:r>
            <w:r w:rsidRPr="00715B2E">
              <w:rPr>
                <w:b/>
                <w:sz w:val="22"/>
                <w:lang w:val="en-US"/>
              </w:rPr>
              <w:t xml:space="preserve">long term temperature </w:t>
            </w:r>
            <w:r w:rsidRPr="00715B2E">
              <w:rPr>
                <w:sz w:val="22"/>
                <w:lang w:val="en-US"/>
              </w:rPr>
              <w:t>goals set out in the Paris Agreement;</w:t>
            </w:r>
          </w:p>
        </w:tc>
        <w:tc>
          <w:tcPr>
            <w:tcW w:w="2254" w:type="dxa"/>
          </w:tcPr>
          <w:p w:rsidR="00C955F7" w:rsidRPr="00715B2E" w:rsidRDefault="00C955F7" w:rsidP="00C955F7">
            <w:pPr>
              <w:rPr>
                <w:sz w:val="22"/>
                <w:lang w:val="en-US"/>
              </w:rPr>
            </w:pPr>
            <w:r>
              <w:rPr>
                <w:sz w:val="22"/>
                <w:lang w:val="en-US"/>
              </w:rPr>
              <w:t xml:space="preserve">The text as it stands is a quite weak signal of commitment to addressing global climate change considering that international aviation is an important </w:t>
            </w:r>
            <w:proofErr w:type="spellStart"/>
            <w:r>
              <w:rPr>
                <w:sz w:val="22"/>
                <w:lang w:val="en-US"/>
              </w:rPr>
              <w:t>actor</w:t>
            </w:r>
            <w:proofErr w:type="spellEnd"/>
            <w:r>
              <w:rPr>
                <w:sz w:val="22"/>
                <w:lang w:val="en-US"/>
              </w:rPr>
              <w:t xml:space="preserve"> in that regard. </w:t>
            </w:r>
            <w:r w:rsidRPr="00715B2E">
              <w:rPr>
                <w:sz w:val="22"/>
                <w:lang w:val="en-US"/>
              </w:rPr>
              <w:t>That the implementation will contribute does not give any guidance on the extent of this contribution</w:t>
            </w:r>
            <w:r>
              <w:rPr>
                <w:sz w:val="22"/>
                <w:lang w:val="en-US"/>
              </w:rPr>
              <w:t xml:space="preserve"> or that ICAO see that it has a key role to play</w:t>
            </w:r>
            <w:r w:rsidRPr="00715B2E">
              <w:rPr>
                <w:sz w:val="22"/>
                <w:lang w:val="en-US"/>
              </w:rPr>
              <w:t>.</w:t>
            </w:r>
            <w:r>
              <w:rPr>
                <w:sz w:val="22"/>
                <w:lang w:val="en-US"/>
              </w:rPr>
              <w:t xml:space="preserve"> There is no viable alternative to full buy-in to the PA goals. </w:t>
            </w:r>
          </w:p>
        </w:tc>
      </w:tr>
      <w:tr w:rsidR="006A33C9" w:rsidRPr="00B07E4B" w:rsidTr="006D58D8">
        <w:tc>
          <w:tcPr>
            <w:tcW w:w="9016" w:type="dxa"/>
            <w:gridSpan w:val="4"/>
            <w:shd w:val="clear" w:color="auto" w:fill="A8D08D" w:themeFill="accent6" w:themeFillTint="99"/>
          </w:tcPr>
          <w:p w:rsidR="006A33C9" w:rsidRPr="00715B2E" w:rsidRDefault="006A33C9" w:rsidP="00C955F7">
            <w:pPr>
              <w:rPr>
                <w:sz w:val="22"/>
                <w:lang w:val="en-US"/>
              </w:rPr>
            </w:pPr>
          </w:p>
        </w:tc>
      </w:tr>
      <w:tr w:rsidR="006A33C9" w:rsidRPr="00B07E4B" w:rsidTr="006D58D8">
        <w:tc>
          <w:tcPr>
            <w:tcW w:w="2254" w:type="dxa"/>
          </w:tcPr>
          <w:p w:rsidR="006A33C9" w:rsidRPr="007C5BD2" w:rsidRDefault="006A33C9" w:rsidP="006A33C9">
            <w:pPr>
              <w:rPr>
                <w:sz w:val="22"/>
                <w:lang w:val="en-US"/>
              </w:rPr>
            </w:pPr>
          </w:p>
        </w:tc>
        <w:tc>
          <w:tcPr>
            <w:tcW w:w="2254" w:type="dxa"/>
          </w:tcPr>
          <w:p w:rsidR="006A33C9" w:rsidRPr="00FC46FB" w:rsidRDefault="006A33C9" w:rsidP="006A33C9">
            <w:pPr>
              <w:spacing w:after="249" w:line="247" w:lineRule="auto"/>
              <w:jc w:val="both"/>
              <w:rPr>
                <w:sz w:val="22"/>
                <w:lang w:val="en-US"/>
              </w:rPr>
            </w:pPr>
          </w:p>
        </w:tc>
        <w:tc>
          <w:tcPr>
            <w:tcW w:w="2254" w:type="dxa"/>
          </w:tcPr>
          <w:p w:rsidR="006A33C9" w:rsidRPr="002E6E46" w:rsidRDefault="006A33C9" w:rsidP="006A33C9">
            <w:pPr>
              <w:autoSpaceDE w:val="0"/>
              <w:autoSpaceDN w:val="0"/>
              <w:adjustRightInd w:val="0"/>
              <w:rPr>
                <w:rFonts w:cs="Times New Roman"/>
                <w:sz w:val="22"/>
                <w:lang w:val="en-US"/>
              </w:rPr>
            </w:pPr>
          </w:p>
        </w:tc>
        <w:tc>
          <w:tcPr>
            <w:tcW w:w="2254" w:type="dxa"/>
          </w:tcPr>
          <w:p w:rsidR="006A33C9" w:rsidRPr="00715B2E" w:rsidRDefault="006A33C9" w:rsidP="006A33C9">
            <w:pPr>
              <w:rPr>
                <w:color w:val="1F497D"/>
                <w:sz w:val="22"/>
                <w:lang w:val="en-US"/>
              </w:rPr>
            </w:pPr>
          </w:p>
        </w:tc>
      </w:tr>
      <w:tr w:rsidR="006A33C9" w:rsidRPr="00B07E4B" w:rsidTr="006D58D8">
        <w:tc>
          <w:tcPr>
            <w:tcW w:w="2254" w:type="dxa"/>
          </w:tcPr>
          <w:p w:rsidR="006A33C9" w:rsidRPr="00F52635" w:rsidRDefault="006A33C9" w:rsidP="006A33C9">
            <w:pPr>
              <w:rPr>
                <w:sz w:val="22"/>
                <w:lang w:val="en-US"/>
              </w:rPr>
            </w:pPr>
          </w:p>
        </w:tc>
        <w:tc>
          <w:tcPr>
            <w:tcW w:w="2254" w:type="dxa"/>
          </w:tcPr>
          <w:p w:rsidR="006A33C9" w:rsidRPr="00F52635" w:rsidRDefault="006A33C9" w:rsidP="006A33C9">
            <w:pPr>
              <w:spacing w:after="249" w:line="247" w:lineRule="auto"/>
              <w:jc w:val="both"/>
              <w:rPr>
                <w:sz w:val="22"/>
                <w:lang w:val="en-US"/>
              </w:rPr>
            </w:pPr>
          </w:p>
        </w:tc>
        <w:tc>
          <w:tcPr>
            <w:tcW w:w="2254" w:type="dxa"/>
          </w:tcPr>
          <w:p w:rsidR="006A33C9" w:rsidRPr="00B558E0" w:rsidRDefault="006A33C9" w:rsidP="006A33C9">
            <w:pPr>
              <w:spacing w:after="249" w:line="247" w:lineRule="auto"/>
              <w:jc w:val="both"/>
              <w:rPr>
                <w:sz w:val="22"/>
                <w:lang w:val="en-US"/>
              </w:rPr>
            </w:pPr>
          </w:p>
        </w:tc>
        <w:tc>
          <w:tcPr>
            <w:tcW w:w="2254" w:type="dxa"/>
          </w:tcPr>
          <w:p w:rsidR="006A33C9" w:rsidRPr="00715B2E" w:rsidRDefault="006A33C9" w:rsidP="006A33C9">
            <w:pPr>
              <w:rPr>
                <w:color w:val="1F497D"/>
                <w:sz w:val="22"/>
                <w:lang w:val="en-US"/>
              </w:rPr>
            </w:pPr>
          </w:p>
        </w:tc>
      </w:tr>
      <w:tr w:rsidR="006A33C9" w:rsidRPr="00B07E4B" w:rsidTr="003C5D29">
        <w:trPr>
          <w:trHeight w:val="387"/>
        </w:trPr>
        <w:tc>
          <w:tcPr>
            <w:tcW w:w="2254" w:type="dxa"/>
          </w:tcPr>
          <w:p w:rsidR="006A33C9" w:rsidRPr="00715B2E" w:rsidRDefault="006A33C9" w:rsidP="006A33C9">
            <w:pPr>
              <w:rPr>
                <w:sz w:val="22"/>
                <w:lang w:val="en-US"/>
              </w:rPr>
            </w:pPr>
          </w:p>
        </w:tc>
        <w:tc>
          <w:tcPr>
            <w:tcW w:w="2254" w:type="dxa"/>
          </w:tcPr>
          <w:p w:rsidR="006A33C9" w:rsidRPr="00715B2E" w:rsidRDefault="006A33C9" w:rsidP="006A33C9">
            <w:pPr>
              <w:rPr>
                <w:sz w:val="22"/>
                <w:lang w:val="en-US"/>
              </w:rPr>
            </w:pPr>
          </w:p>
        </w:tc>
        <w:tc>
          <w:tcPr>
            <w:tcW w:w="2254" w:type="dxa"/>
          </w:tcPr>
          <w:p w:rsidR="006A33C9" w:rsidRPr="00715B2E" w:rsidRDefault="006A33C9" w:rsidP="006A33C9">
            <w:pPr>
              <w:rPr>
                <w:sz w:val="22"/>
                <w:lang w:val="en-US"/>
              </w:rPr>
            </w:pPr>
          </w:p>
        </w:tc>
        <w:tc>
          <w:tcPr>
            <w:tcW w:w="2254" w:type="dxa"/>
          </w:tcPr>
          <w:p w:rsidR="006A33C9" w:rsidRPr="00715B2E" w:rsidRDefault="006A33C9" w:rsidP="000C467A">
            <w:pPr>
              <w:rPr>
                <w:sz w:val="22"/>
                <w:lang w:val="en-US"/>
              </w:rPr>
            </w:pPr>
          </w:p>
        </w:tc>
      </w:tr>
      <w:tr w:rsidR="006A33C9" w:rsidRPr="00435D81" w:rsidTr="006D58D8">
        <w:tc>
          <w:tcPr>
            <w:tcW w:w="2254" w:type="dxa"/>
          </w:tcPr>
          <w:p w:rsidR="006A33C9" w:rsidRPr="00715B2E" w:rsidRDefault="006A33C9" w:rsidP="006A33C9">
            <w:pPr>
              <w:rPr>
                <w:sz w:val="22"/>
                <w:lang w:val="en-US"/>
              </w:rPr>
            </w:pPr>
          </w:p>
        </w:tc>
        <w:tc>
          <w:tcPr>
            <w:tcW w:w="2254" w:type="dxa"/>
          </w:tcPr>
          <w:p w:rsidR="006A33C9" w:rsidRPr="00715B2E" w:rsidRDefault="006A33C9" w:rsidP="006A33C9">
            <w:pPr>
              <w:rPr>
                <w:sz w:val="22"/>
                <w:lang w:val="en-US"/>
              </w:rPr>
            </w:pPr>
          </w:p>
        </w:tc>
        <w:tc>
          <w:tcPr>
            <w:tcW w:w="2254" w:type="dxa"/>
          </w:tcPr>
          <w:p w:rsidR="006A33C9" w:rsidRPr="00715B2E" w:rsidRDefault="006A33C9" w:rsidP="006A33C9">
            <w:pPr>
              <w:rPr>
                <w:sz w:val="22"/>
                <w:lang w:val="en-US"/>
              </w:rPr>
            </w:pPr>
          </w:p>
        </w:tc>
        <w:tc>
          <w:tcPr>
            <w:tcW w:w="2254" w:type="dxa"/>
          </w:tcPr>
          <w:p w:rsidR="006A33C9" w:rsidRPr="00715B2E" w:rsidRDefault="006A33C9" w:rsidP="006A33C9">
            <w:pPr>
              <w:rPr>
                <w:color w:val="1F497D"/>
                <w:sz w:val="22"/>
                <w:lang w:val="en-US"/>
              </w:rPr>
            </w:pPr>
          </w:p>
        </w:tc>
      </w:tr>
      <w:tr w:rsidR="00064AF6" w:rsidRPr="00B07E4B" w:rsidTr="006D58D8">
        <w:tc>
          <w:tcPr>
            <w:tcW w:w="9016" w:type="dxa"/>
            <w:gridSpan w:val="4"/>
            <w:shd w:val="clear" w:color="auto" w:fill="A8D08D" w:themeFill="accent6" w:themeFillTint="99"/>
          </w:tcPr>
          <w:p w:rsidR="00064AF6" w:rsidRDefault="00064AF6" w:rsidP="006A33C9">
            <w:pPr>
              <w:rPr>
                <w:sz w:val="22"/>
                <w:lang w:val="en-US"/>
              </w:rPr>
            </w:pPr>
            <w:r>
              <w:rPr>
                <w:sz w:val="22"/>
                <w:lang w:val="en-US"/>
              </w:rPr>
              <w:t xml:space="preserve">Integrity of offsets: </w:t>
            </w:r>
          </w:p>
          <w:p w:rsidR="002A7951" w:rsidRPr="00064AF6" w:rsidRDefault="00064AF6" w:rsidP="00064AF6">
            <w:pPr>
              <w:rPr>
                <w:sz w:val="22"/>
                <w:lang w:val="en-US"/>
              </w:rPr>
            </w:pPr>
            <w:r>
              <w:rPr>
                <w:sz w:val="22"/>
                <w:lang w:val="en-US"/>
              </w:rPr>
              <w:t>-</w:t>
            </w:r>
            <w:r w:rsidR="00CB3A5E" w:rsidRPr="00064AF6">
              <w:rPr>
                <w:sz w:val="22"/>
                <w:lang w:val="en-US"/>
              </w:rPr>
              <w:t>Implications of the Paris agreement on additionality and link to UNFCCC</w:t>
            </w:r>
          </w:p>
          <w:p w:rsidR="00064AF6" w:rsidRPr="00715B2E" w:rsidRDefault="00064AF6" w:rsidP="006A33C9">
            <w:pPr>
              <w:rPr>
                <w:sz w:val="22"/>
                <w:lang w:val="en-US"/>
              </w:rPr>
            </w:pPr>
            <w:r>
              <w:rPr>
                <w:sz w:val="22"/>
                <w:lang w:val="en-US"/>
              </w:rPr>
              <w:t>-</w:t>
            </w:r>
            <w:r w:rsidR="00CB3A5E" w:rsidRPr="00064AF6">
              <w:rPr>
                <w:sz w:val="22"/>
                <w:lang w:val="en-US"/>
              </w:rPr>
              <w:t xml:space="preserve">The practical and political appeal of having a strong link to UNFCCC </w:t>
            </w:r>
          </w:p>
        </w:tc>
      </w:tr>
      <w:tr w:rsidR="006A33C9" w:rsidRPr="00B07E4B" w:rsidTr="006D58D8">
        <w:tc>
          <w:tcPr>
            <w:tcW w:w="2254" w:type="dxa"/>
          </w:tcPr>
          <w:p w:rsidR="006A33C9" w:rsidRPr="00715B2E" w:rsidRDefault="006A33C9" w:rsidP="006A33C9">
            <w:pPr>
              <w:rPr>
                <w:sz w:val="22"/>
                <w:lang w:val="en-US"/>
              </w:rPr>
            </w:pPr>
            <w:r w:rsidRPr="00715B2E">
              <w:rPr>
                <w:sz w:val="22"/>
                <w:lang w:val="en-US"/>
              </w:rPr>
              <w:t>Para 13</w:t>
            </w:r>
          </w:p>
        </w:tc>
        <w:tc>
          <w:tcPr>
            <w:tcW w:w="2254" w:type="dxa"/>
          </w:tcPr>
          <w:p w:rsidR="006A33C9" w:rsidRPr="00715B2E" w:rsidRDefault="006A33C9" w:rsidP="006A33C9">
            <w:pPr>
              <w:rPr>
                <w:sz w:val="22"/>
                <w:lang w:val="en-US"/>
              </w:rPr>
            </w:pPr>
            <w:r>
              <w:rPr>
                <w:i/>
                <w:sz w:val="22"/>
                <w:lang w:val="en-US"/>
              </w:rPr>
              <w:t>[…]</w:t>
            </w:r>
            <w:r w:rsidRPr="00715B2E">
              <w:rPr>
                <w:sz w:val="22"/>
                <w:lang w:val="en-US"/>
              </w:rPr>
              <w:t xml:space="preserve"> b) recommended criteria for emissions units to </w:t>
            </w:r>
            <w:proofErr w:type="gramStart"/>
            <w:r w:rsidRPr="00715B2E">
              <w:rPr>
                <w:sz w:val="22"/>
                <w:lang w:val="en-US"/>
              </w:rPr>
              <w:t>be purchased</w:t>
            </w:r>
            <w:proofErr w:type="gramEnd"/>
            <w:r w:rsidRPr="00715B2E">
              <w:rPr>
                <w:sz w:val="22"/>
                <w:lang w:val="en-US"/>
              </w:rPr>
              <w:t xml:space="preserve"> by aircraft operators that take into account developments in the UNFCCC process; </w:t>
            </w:r>
            <w:r>
              <w:rPr>
                <w:sz w:val="22"/>
                <w:lang w:val="en-US"/>
              </w:rPr>
              <w:t>[…]</w:t>
            </w:r>
          </w:p>
        </w:tc>
        <w:tc>
          <w:tcPr>
            <w:tcW w:w="2254" w:type="dxa"/>
          </w:tcPr>
          <w:p w:rsidR="006A33C9" w:rsidRPr="00715B2E" w:rsidRDefault="006A33C9" w:rsidP="006A33C9">
            <w:pPr>
              <w:spacing w:after="249" w:line="247" w:lineRule="auto"/>
              <w:ind w:left="10"/>
              <w:jc w:val="both"/>
              <w:rPr>
                <w:sz w:val="22"/>
                <w:lang w:val="en-US"/>
              </w:rPr>
            </w:pPr>
            <w:r>
              <w:rPr>
                <w:i/>
                <w:sz w:val="22"/>
                <w:lang w:val="en-US"/>
              </w:rPr>
              <w:t>[…]</w:t>
            </w:r>
            <w:r w:rsidRPr="00715B2E">
              <w:rPr>
                <w:sz w:val="22"/>
                <w:lang w:val="en-US"/>
              </w:rPr>
              <w:t xml:space="preserve"> b) recommended criteria for emissions units to be purchased by aircraft operators that </w:t>
            </w:r>
            <w:r w:rsidRPr="00715B2E">
              <w:rPr>
                <w:b/>
                <w:sz w:val="22"/>
                <w:lang w:val="en-US"/>
              </w:rPr>
              <w:t>should be consistent with</w:t>
            </w:r>
            <w:r w:rsidRPr="00715B2E">
              <w:rPr>
                <w:sz w:val="22"/>
                <w:lang w:val="en-US"/>
              </w:rPr>
              <w:t xml:space="preserve"> </w:t>
            </w:r>
            <w:r w:rsidRPr="00715B2E">
              <w:rPr>
                <w:b/>
                <w:sz w:val="22"/>
                <w:lang w:val="en-US"/>
              </w:rPr>
              <w:t>existing UNFCCC decisions and</w:t>
            </w:r>
            <w:r w:rsidRPr="00715B2E">
              <w:rPr>
                <w:sz w:val="22"/>
                <w:lang w:val="en-US"/>
              </w:rPr>
              <w:t xml:space="preserve"> take into account</w:t>
            </w:r>
            <w:r>
              <w:rPr>
                <w:sz w:val="22"/>
                <w:lang w:val="en-US"/>
              </w:rPr>
              <w:t xml:space="preserve"> </w:t>
            </w:r>
            <w:r>
              <w:rPr>
                <w:b/>
                <w:sz w:val="22"/>
                <w:lang w:val="en-US"/>
              </w:rPr>
              <w:t>future</w:t>
            </w:r>
            <w:r w:rsidRPr="00715B2E">
              <w:rPr>
                <w:b/>
                <w:sz w:val="22"/>
                <w:lang w:val="en-US"/>
              </w:rPr>
              <w:t xml:space="preserve"> </w:t>
            </w:r>
            <w:r w:rsidRPr="00715B2E">
              <w:rPr>
                <w:sz w:val="22"/>
                <w:lang w:val="en-US"/>
              </w:rPr>
              <w:t xml:space="preserve">developments in the UNFCCC process; </w:t>
            </w:r>
            <w:r>
              <w:rPr>
                <w:sz w:val="22"/>
                <w:lang w:val="en-US"/>
              </w:rPr>
              <w:t>[…]</w:t>
            </w:r>
            <w:r w:rsidRPr="00715B2E">
              <w:rPr>
                <w:sz w:val="22"/>
                <w:lang w:val="en-US"/>
              </w:rPr>
              <w:t xml:space="preserve"> </w:t>
            </w:r>
          </w:p>
        </w:tc>
        <w:tc>
          <w:tcPr>
            <w:tcW w:w="2254" w:type="dxa"/>
          </w:tcPr>
          <w:p w:rsidR="006A33C9" w:rsidRPr="00715B2E" w:rsidRDefault="006A33C9" w:rsidP="006A33C9">
            <w:pPr>
              <w:rPr>
                <w:sz w:val="22"/>
                <w:lang w:val="en-US"/>
              </w:rPr>
            </w:pPr>
            <w:r w:rsidRPr="00715B2E">
              <w:rPr>
                <w:sz w:val="22"/>
                <w:lang w:val="en-US"/>
              </w:rPr>
              <w:t xml:space="preserve">There are existing decisions that are clearly relevant </w:t>
            </w:r>
            <w:r w:rsidR="00905BE5">
              <w:rPr>
                <w:sz w:val="22"/>
                <w:lang w:val="en-US"/>
              </w:rPr>
              <w:t xml:space="preserve">and </w:t>
            </w:r>
            <w:r>
              <w:rPr>
                <w:sz w:val="22"/>
                <w:lang w:val="en-US"/>
              </w:rPr>
              <w:t xml:space="preserve">that the GMBM needs </w:t>
            </w:r>
            <w:r w:rsidRPr="00715B2E">
              <w:rPr>
                <w:sz w:val="22"/>
                <w:lang w:val="en-US"/>
              </w:rPr>
              <w:t>to be consistent with</w:t>
            </w:r>
            <w:r>
              <w:rPr>
                <w:sz w:val="22"/>
                <w:lang w:val="en-US"/>
              </w:rPr>
              <w:t>,</w:t>
            </w:r>
            <w:r w:rsidRPr="00715B2E">
              <w:rPr>
                <w:sz w:val="22"/>
                <w:lang w:val="en-US"/>
              </w:rPr>
              <w:t xml:space="preserve"> and there may be future developments and that </w:t>
            </w:r>
            <w:proofErr w:type="gramStart"/>
            <w:r w:rsidRPr="00715B2E">
              <w:rPr>
                <w:sz w:val="22"/>
                <w:lang w:val="en-US"/>
              </w:rPr>
              <w:t>should be taken</w:t>
            </w:r>
            <w:proofErr w:type="gramEnd"/>
            <w:r w:rsidRPr="00715B2E">
              <w:rPr>
                <w:sz w:val="22"/>
                <w:lang w:val="en-US"/>
              </w:rPr>
              <w:t xml:space="preserve"> into account</w:t>
            </w:r>
            <w:r>
              <w:rPr>
                <w:sz w:val="22"/>
                <w:lang w:val="en-US"/>
              </w:rPr>
              <w:t xml:space="preserve"> when and if they occur. This does not imply a need to wait for further work. </w:t>
            </w:r>
          </w:p>
        </w:tc>
      </w:tr>
      <w:tr w:rsidR="006A33C9" w:rsidRPr="00435D81" w:rsidTr="006D58D8">
        <w:tc>
          <w:tcPr>
            <w:tcW w:w="2254" w:type="dxa"/>
          </w:tcPr>
          <w:p w:rsidR="006A33C9" w:rsidRPr="00715B2E" w:rsidRDefault="006A33C9" w:rsidP="006A33C9">
            <w:pPr>
              <w:rPr>
                <w:sz w:val="22"/>
                <w:lang w:val="en-US"/>
              </w:rPr>
            </w:pPr>
            <w:r w:rsidRPr="00715B2E">
              <w:rPr>
                <w:sz w:val="22"/>
                <w:lang w:val="en-US"/>
              </w:rPr>
              <w:lastRenderedPageBreak/>
              <w:t>Para17, c, page B-5</w:t>
            </w:r>
          </w:p>
        </w:tc>
        <w:tc>
          <w:tcPr>
            <w:tcW w:w="2254" w:type="dxa"/>
          </w:tcPr>
          <w:p w:rsidR="006A33C9" w:rsidRPr="00715B2E" w:rsidRDefault="006A33C9" w:rsidP="006A33C9">
            <w:pPr>
              <w:spacing w:after="3" w:line="256" w:lineRule="auto"/>
              <w:ind w:right="-5"/>
              <w:rPr>
                <w:sz w:val="22"/>
                <w:lang w:val="en-US"/>
              </w:rPr>
            </w:pPr>
            <w:r w:rsidRPr="00715B2E">
              <w:rPr>
                <w:sz w:val="22"/>
                <w:lang w:val="en-US"/>
              </w:rPr>
              <w:t>the Council to develop, with the technical contribution of CAEP, the SARPs and related</w:t>
            </w:r>
            <w:r w:rsidRPr="00715B2E">
              <w:rPr>
                <w:color w:val="FF0000"/>
                <w:sz w:val="22"/>
                <w:lang w:val="en-US"/>
              </w:rPr>
              <w:t xml:space="preserve"> </w:t>
            </w:r>
            <w:r w:rsidRPr="00715B2E">
              <w:rPr>
                <w:sz w:val="22"/>
                <w:lang w:val="en-US"/>
              </w:rPr>
              <w:t xml:space="preserve">guidance material for Emissions Unit Criteria (EUC) to support the purchase of appropriate emissions units by aircraft operators under the scheme, taking into account relevant developments in the UNFCCC and Article 6 of the Paris Agreement, </w:t>
            </w:r>
            <w:r>
              <w:rPr>
                <w:sz w:val="22"/>
                <w:lang w:val="en-US"/>
              </w:rPr>
              <w:t>[…]</w:t>
            </w:r>
          </w:p>
        </w:tc>
        <w:tc>
          <w:tcPr>
            <w:tcW w:w="2254" w:type="dxa"/>
          </w:tcPr>
          <w:p w:rsidR="006A33C9" w:rsidRPr="00715B2E" w:rsidRDefault="006A33C9" w:rsidP="006A33C9">
            <w:pPr>
              <w:spacing w:after="3" w:line="256" w:lineRule="auto"/>
              <w:ind w:right="-5"/>
              <w:rPr>
                <w:sz w:val="22"/>
                <w:lang w:val="en-US"/>
              </w:rPr>
            </w:pPr>
            <w:r w:rsidRPr="00715B2E">
              <w:rPr>
                <w:sz w:val="22"/>
                <w:lang w:val="en-US"/>
              </w:rPr>
              <w:t>the Council to develop, with the technical contribution of CAEP, the SARPs and related</w:t>
            </w:r>
            <w:r w:rsidRPr="00715B2E">
              <w:rPr>
                <w:color w:val="FF0000"/>
                <w:sz w:val="22"/>
                <w:lang w:val="en-US"/>
              </w:rPr>
              <w:t xml:space="preserve"> </w:t>
            </w:r>
            <w:r w:rsidRPr="00715B2E">
              <w:rPr>
                <w:sz w:val="22"/>
                <w:lang w:val="en-US"/>
              </w:rPr>
              <w:t xml:space="preserve">guidance material for Emissions Unit Criteria (EUC) to support the purchase of appropriate emissions units by aircraft operators under the scheme </w:t>
            </w:r>
            <w:r w:rsidRPr="00715B2E">
              <w:rPr>
                <w:b/>
                <w:sz w:val="22"/>
                <w:lang w:val="en-US"/>
              </w:rPr>
              <w:t>in line with existing decisions under UNFCCC and</w:t>
            </w:r>
            <w:r w:rsidRPr="00715B2E">
              <w:rPr>
                <w:strike/>
                <w:sz w:val="22"/>
                <w:lang w:val="en-US"/>
              </w:rPr>
              <w:t>,</w:t>
            </w:r>
            <w:r w:rsidRPr="00715B2E">
              <w:rPr>
                <w:sz w:val="22"/>
                <w:lang w:val="en-US"/>
              </w:rPr>
              <w:t xml:space="preserve">  taking into account relevant developments in the UNFCCC and Article 6 of the Paris Agreement, </w:t>
            </w:r>
            <w:r>
              <w:rPr>
                <w:sz w:val="22"/>
                <w:lang w:val="en-US"/>
              </w:rPr>
              <w:t>[…]</w:t>
            </w:r>
          </w:p>
          <w:p w:rsidR="006A33C9" w:rsidRPr="00715B2E" w:rsidRDefault="006A33C9" w:rsidP="006A33C9">
            <w:pPr>
              <w:rPr>
                <w:sz w:val="22"/>
                <w:lang w:val="en-US"/>
              </w:rPr>
            </w:pPr>
          </w:p>
        </w:tc>
        <w:tc>
          <w:tcPr>
            <w:tcW w:w="2254" w:type="dxa"/>
          </w:tcPr>
          <w:p w:rsidR="006A33C9" w:rsidRPr="00715B2E" w:rsidRDefault="006A33C9" w:rsidP="006A33C9">
            <w:pPr>
              <w:rPr>
                <w:sz w:val="22"/>
                <w:lang w:val="en-US"/>
              </w:rPr>
            </w:pPr>
            <w:r w:rsidRPr="00715B2E">
              <w:rPr>
                <w:sz w:val="22"/>
                <w:lang w:val="en-US"/>
              </w:rPr>
              <w:t>Ref. rationale para 13</w:t>
            </w:r>
          </w:p>
        </w:tc>
      </w:tr>
      <w:tr w:rsidR="00565DF8" w:rsidRPr="00B07E4B" w:rsidTr="006D58D8">
        <w:tc>
          <w:tcPr>
            <w:tcW w:w="2254" w:type="dxa"/>
          </w:tcPr>
          <w:p w:rsidR="00565DF8" w:rsidRPr="00715B2E" w:rsidRDefault="00565DF8" w:rsidP="00565DF8">
            <w:pPr>
              <w:rPr>
                <w:sz w:val="22"/>
                <w:lang w:val="en-US"/>
              </w:rPr>
            </w:pPr>
            <w:r w:rsidRPr="00715B2E">
              <w:rPr>
                <w:sz w:val="22"/>
                <w:lang w:val="en-US"/>
              </w:rPr>
              <w:t>Para 17f</w:t>
            </w:r>
          </w:p>
        </w:tc>
        <w:tc>
          <w:tcPr>
            <w:tcW w:w="2254" w:type="dxa"/>
          </w:tcPr>
          <w:p w:rsidR="00565DF8" w:rsidRPr="00715B2E" w:rsidRDefault="00565DF8" w:rsidP="00565DF8">
            <w:pPr>
              <w:spacing w:after="3" w:line="256" w:lineRule="auto"/>
              <w:ind w:right="-5"/>
              <w:rPr>
                <w:sz w:val="22"/>
                <w:lang w:val="en-US"/>
              </w:rPr>
            </w:pPr>
            <w:r w:rsidRPr="00715B2E">
              <w:rPr>
                <w:sz w:val="22"/>
                <w:lang w:val="en-US"/>
              </w:rPr>
              <w:t>the Council to develop, with the technical contribution of CAEP, policies and related</w:t>
            </w:r>
            <w:r w:rsidRPr="00715B2E">
              <w:rPr>
                <w:color w:val="FF0000"/>
                <w:sz w:val="22"/>
                <w:lang w:val="en-US"/>
              </w:rPr>
              <w:t xml:space="preserve"> </w:t>
            </w:r>
            <w:r w:rsidRPr="00715B2E">
              <w:rPr>
                <w:sz w:val="22"/>
                <w:lang w:val="en-US"/>
              </w:rPr>
              <w:t>guidance material to support the establishment of registries under the scheme, for adoption by the Council by 2018</w:t>
            </w:r>
          </w:p>
        </w:tc>
        <w:tc>
          <w:tcPr>
            <w:tcW w:w="2254" w:type="dxa"/>
          </w:tcPr>
          <w:p w:rsidR="00565DF8" w:rsidRPr="00715B2E" w:rsidRDefault="00565DF8" w:rsidP="00565DF8">
            <w:pPr>
              <w:spacing w:after="3" w:line="256" w:lineRule="auto"/>
              <w:ind w:right="-5"/>
              <w:rPr>
                <w:sz w:val="22"/>
                <w:lang w:val="en-US"/>
              </w:rPr>
            </w:pPr>
            <w:r w:rsidRPr="00715B2E">
              <w:rPr>
                <w:sz w:val="22"/>
                <w:lang w:val="en-US"/>
              </w:rPr>
              <w:t>the Council to develop, with the technical contribution of CAEP, policies and related</w:t>
            </w:r>
            <w:r w:rsidRPr="00715B2E">
              <w:rPr>
                <w:color w:val="FF0000"/>
                <w:sz w:val="22"/>
                <w:lang w:val="en-US"/>
              </w:rPr>
              <w:t xml:space="preserve"> </w:t>
            </w:r>
            <w:r w:rsidRPr="00715B2E">
              <w:rPr>
                <w:sz w:val="22"/>
                <w:lang w:val="en-US"/>
              </w:rPr>
              <w:t xml:space="preserve">guidance material to support the establishment of registries under the scheme </w:t>
            </w:r>
            <w:r w:rsidRPr="00715B2E">
              <w:rPr>
                <w:b/>
                <w:sz w:val="22"/>
                <w:lang w:val="en-US"/>
              </w:rPr>
              <w:t>ensuring transparency, accuracy, consistency and compatibility and that no double counting takes place</w:t>
            </w:r>
            <w:r w:rsidRPr="00715B2E">
              <w:rPr>
                <w:sz w:val="22"/>
                <w:lang w:val="en-US"/>
              </w:rPr>
              <w:t>, for adoption by the Council by 2018</w:t>
            </w:r>
          </w:p>
        </w:tc>
        <w:tc>
          <w:tcPr>
            <w:tcW w:w="2254" w:type="dxa"/>
          </w:tcPr>
          <w:p w:rsidR="00565DF8" w:rsidRPr="00715B2E" w:rsidRDefault="00565DF8" w:rsidP="00565DF8">
            <w:pPr>
              <w:rPr>
                <w:sz w:val="22"/>
                <w:lang w:val="en-US"/>
              </w:rPr>
            </w:pPr>
            <w:r>
              <w:rPr>
                <w:sz w:val="22"/>
                <w:lang w:val="en-US"/>
              </w:rPr>
              <w:t>These are essential principles of the PA and the UNFCCC, and should be make explicit as they are fundamental to the integrity and credibility of the GMBM.</w:t>
            </w:r>
          </w:p>
        </w:tc>
      </w:tr>
      <w:tr w:rsidR="00565DF8" w:rsidRPr="00435D81" w:rsidTr="006D58D8">
        <w:tc>
          <w:tcPr>
            <w:tcW w:w="2254" w:type="dxa"/>
          </w:tcPr>
          <w:p w:rsidR="00565DF8" w:rsidRPr="00715B2E" w:rsidRDefault="00565DF8" w:rsidP="00565DF8">
            <w:pPr>
              <w:rPr>
                <w:sz w:val="22"/>
                <w:lang w:val="en-US"/>
              </w:rPr>
            </w:pPr>
            <w:r w:rsidRPr="00715B2E">
              <w:rPr>
                <w:sz w:val="22"/>
                <w:lang w:val="en-US"/>
              </w:rPr>
              <w:t>Para 19</w:t>
            </w:r>
          </w:p>
        </w:tc>
        <w:tc>
          <w:tcPr>
            <w:tcW w:w="2254" w:type="dxa"/>
          </w:tcPr>
          <w:p w:rsidR="00565DF8" w:rsidRPr="00715B2E" w:rsidRDefault="00565DF8" w:rsidP="00565DF8">
            <w:pPr>
              <w:rPr>
                <w:sz w:val="22"/>
                <w:lang w:val="en-US"/>
              </w:rPr>
            </w:pPr>
            <w:r w:rsidRPr="00715B2E">
              <w:rPr>
                <w:i/>
                <w:sz w:val="22"/>
                <w:lang w:val="en-US"/>
              </w:rPr>
              <w:t>Decides</w:t>
            </w:r>
            <w:r w:rsidRPr="00715B2E">
              <w:rPr>
                <w:sz w:val="22"/>
                <w:lang w:val="en-US"/>
              </w:rPr>
              <w:t xml:space="preserve"> that the CORSIA will use emissions units that meet the Emissions Unit Criteria (EUC) in paragraph 17 above, and </w:t>
            </w:r>
            <w:r w:rsidRPr="00715B2E">
              <w:rPr>
                <w:i/>
                <w:sz w:val="22"/>
                <w:lang w:val="en-US"/>
              </w:rPr>
              <w:t>requests</w:t>
            </w:r>
            <w:r w:rsidRPr="00715B2E">
              <w:rPr>
                <w:sz w:val="22"/>
                <w:lang w:val="en-US"/>
              </w:rPr>
              <w:t xml:space="preserve"> the Council to promote the use of emissions units generated from </w:t>
            </w:r>
            <w:proofErr w:type="spellStart"/>
            <w:r w:rsidRPr="00715B2E">
              <w:rPr>
                <w:sz w:val="22"/>
                <w:lang w:val="en-US"/>
              </w:rPr>
              <w:t>programmes</w:t>
            </w:r>
            <w:proofErr w:type="spellEnd"/>
            <w:r w:rsidRPr="00715B2E">
              <w:rPr>
                <w:sz w:val="22"/>
                <w:lang w:val="en-US"/>
              </w:rPr>
              <w:t xml:space="preserve"> that benefit developing States, including emissions units generated from the </w:t>
            </w:r>
            <w:r w:rsidRPr="00715B2E">
              <w:rPr>
                <w:sz w:val="22"/>
                <w:lang w:val="en-US"/>
              </w:rPr>
              <w:lastRenderedPageBreak/>
              <w:t xml:space="preserve">CDM, new market mechanisms or other </w:t>
            </w:r>
            <w:proofErr w:type="spellStart"/>
            <w:r w:rsidRPr="00715B2E">
              <w:rPr>
                <w:sz w:val="22"/>
                <w:lang w:val="en-US"/>
              </w:rPr>
              <w:t>programmes</w:t>
            </w:r>
            <w:proofErr w:type="spellEnd"/>
            <w:r w:rsidRPr="00715B2E">
              <w:rPr>
                <w:sz w:val="22"/>
                <w:lang w:val="en-US"/>
              </w:rPr>
              <w:t xml:space="preserve"> under the UNFCCC, and </w:t>
            </w:r>
            <w:r w:rsidRPr="00715B2E">
              <w:rPr>
                <w:i/>
                <w:sz w:val="22"/>
                <w:lang w:val="en-US"/>
              </w:rPr>
              <w:t>encourages</w:t>
            </w:r>
            <w:r w:rsidRPr="00715B2E">
              <w:rPr>
                <w:sz w:val="22"/>
                <w:lang w:val="en-US"/>
              </w:rPr>
              <w:t xml:space="preserve"> States to develop domestic aviation-related projects;</w:t>
            </w:r>
          </w:p>
        </w:tc>
        <w:tc>
          <w:tcPr>
            <w:tcW w:w="2254" w:type="dxa"/>
          </w:tcPr>
          <w:p w:rsidR="00565DF8" w:rsidRPr="00715B2E" w:rsidRDefault="00565DF8" w:rsidP="00565DF8">
            <w:pPr>
              <w:rPr>
                <w:sz w:val="22"/>
                <w:lang w:val="en-US"/>
              </w:rPr>
            </w:pPr>
            <w:r w:rsidRPr="00715B2E">
              <w:rPr>
                <w:i/>
                <w:sz w:val="22"/>
                <w:lang w:val="en-US"/>
              </w:rPr>
              <w:lastRenderedPageBreak/>
              <w:t>Decides</w:t>
            </w:r>
            <w:r w:rsidRPr="00715B2E">
              <w:rPr>
                <w:sz w:val="22"/>
                <w:lang w:val="en-US"/>
              </w:rPr>
              <w:t xml:space="preserve"> that the CORSIA will use emissions units that meet the Emissions Unit Criteria (EUC) in paragraph 17 above, and </w:t>
            </w:r>
            <w:r w:rsidRPr="00715B2E">
              <w:rPr>
                <w:i/>
                <w:sz w:val="22"/>
                <w:lang w:val="en-US"/>
              </w:rPr>
              <w:t>requests</w:t>
            </w:r>
            <w:r w:rsidRPr="00715B2E">
              <w:rPr>
                <w:sz w:val="22"/>
                <w:lang w:val="en-US"/>
              </w:rPr>
              <w:t xml:space="preserve"> the Council to promote the use of emissions units generated from </w:t>
            </w:r>
            <w:proofErr w:type="spellStart"/>
            <w:r w:rsidRPr="00715B2E">
              <w:rPr>
                <w:sz w:val="22"/>
                <w:lang w:val="en-US"/>
              </w:rPr>
              <w:t>programmes</w:t>
            </w:r>
            <w:proofErr w:type="spellEnd"/>
            <w:r w:rsidRPr="00715B2E">
              <w:rPr>
                <w:sz w:val="22"/>
                <w:lang w:val="en-US"/>
              </w:rPr>
              <w:t xml:space="preserve"> that benefit developing States, including emissions units generated from the </w:t>
            </w:r>
            <w:r w:rsidRPr="00715B2E">
              <w:rPr>
                <w:strike/>
                <w:sz w:val="22"/>
                <w:lang w:val="en-US"/>
              </w:rPr>
              <w:lastRenderedPageBreak/>
              <w:t>CDM,</w:t>
            </w:r>
            <w:r w:rsidRPr="00715B2E">
              <w:rPr>
                <w:sz w:val="22"/>
                <w:lang w:val="en-US"/>
              </w:rPr>
              <w:t xml:space="preserve"> new market mechanisms or other </w:t>
            </w:r>
            <w:proofErr w:type="spellStart"/>
            <w:r w:rsidRPr="00715B2E">
              <w:rPr>
                <w:sz w:val="22"/>
                <w:lang w:val="en-US"/>
              </w:rPr>
              <w:t>programmes</w:t>
            </w:r>
            <w:proofErr w:type="spellEnd"/>
            <w:r w:rsidRPr="00715B2E">
              <w:rPr>
                <w:sz w:val="22"/>
                <w:lang w:val="en-US"/>
              </w:rPr>
              <w:t xml:space="preserve"> under the UNFCCC, and </w:t>
            </w:r>
            <w:r w:rsidRPr="00715B2E">
              <w:rPr>
                <w:i/>
                <w:sz w:val="22"/>
                <w:lang w:val="en-US"/>
              </w:rPr>
              <w:t>encourages</w:t>
            </w:r>
            <w:r w:rsidRPr="00715B2E">
              <w:rPr>
                <w:sz w:val="22"/>
                <w:lang w:val="en-US"/>
              </w:rPr>
              <w:t xml:space="preserve"> States to develop domestic aviation-related projects;</w:t>
            </w:r>
          </w:p>
        </w:tc>
        <w:tc>
          <w:tcPr>
            <w:tcW w:w="2254" w:type="dxa"/>
          </w:tcPr>
          <w:p w:rsidR="00565DF8" w:rsidRPr="00715B2E" w:rsidRDefault="00565DF8" w:rsidP="00565DF8">
            <w:pPr>
              <w:rPr>
                <w:sz w:val="22"/>
                <w:lang w:val="en-US"/>
              </w:rPr>
            </w:pPr>
            <w:r w:rsidRPr="00715B2E">
              <w:rPr>
                <w:sz w:val="22"/>
                <w:lang w:val="en-US"/>
              </w:rPr>
              <w:lastRenderedPageBreak/>
              <w:t xml:space="preserve">Ref. rationale </w:t>
            </w:r>
            <w:proofErr w:type="spellStart"/>
            <w:r w:rsidRPr="00715B2E">
              <w:rPr>
                <w:sz w:val="22"/>
                <w:lang w:val="en-US"/>
              </w:rPr>
              <w:t>Preambular</w:t>
            </w:r>
            <w:proofErr w:type="spellEnd"/>
            <w:r w:rsidRPr="00715B2E">
              <w:rPr>
                <w:sz w:val="22"/>
                <w:lang w:val="en-US"/>
              </w:rPr>
              <w:t xml:space="preserve"> para 14</w:t>
            </w:r>
          </w:p>
        </w:tc>
      </w:tr>
      <w:tr w:rsidR="00565DF8" w:rsidRPr="00B07E4B" w:rsidTr="006D58D8">
        <w:tc>
          <w:tcPr>
            <w:tcW w:w="2254" w:type="dxa"/>
          </w:tcPr>
          <w:p w:rsidR="00565DF8" w:rsidRPr="00715B2E" w:rsidRDefault="00565DF8" w:rsidP="00565DF8">
            <w:pPr>
              <w:rPr>
                <w:sz w:val="22"/>
                <w:lang w:val="en-US"/>
              </w:rPr>
            </w:pPr>
            <w:proofErr w:type="spellStart"/>
            <w:r w:rsidRPr="00715B2E">
              <w:rPr>
                <w:sz w:val="22"/>
                <w:lang w:val="en-US"/>
              </w:rPr>
              <w:t>Preambular</w:t>
            </w:r>
            <w:proofErr w:type="spellEnd"/>
            <w:r w:rsidRPr="00715B2E">
              <w:rPr>
                <w:sz w:val="22"/>
                <w:lang w:val="en-US"/>
              </w:rPr>
              <w:t xml:space="preserve"> para 14</w:t>
            </w:r>
          </w:p>
        </w:tc>
        <w:tc>
          <w:tcPr>
            <w:tcW w:w="2254" w:type="dxa"/>
          </w:tcPr>
          <w:p w:rsidR="00565DF8" w:rsidRPr="00715B2E" w:rsidRDefault="00565DF8" w:rsidP="00565DF8">
            <w:pPr>
              <w:rPr>
                <w:sz w:val="22"/>
                <w:lang w:val="en-US"/>
              </w:rPr>
            </w:pPr>
            <w:r w:rsidRPr="00715B2E">
              <w:rPr>
                <w:i/>
                <w:iCs/>
                <w:sz w:val="22"/>
                <w:lang w:val="en-US"/>
              </w:rPr>
              <w:t xml:space="preserve">Whereas </w:t>
            </w:r>
            <w:r w:rsidRPr="00715B2E">
              <w:rPr>
                <w:sz w:val="22"/>
                <w:lang w:val="en-US"/>
              </w:rPr>
              <w:t xml:space="preserve">the UNFCCC provides for market-based mechanisms and other </w:t>
            </w:r>
            <w:proofErr w:type="spellStart"/>
            <w:r w:rsidRPr="00715B2E">
              <w:rPr>
                <w:sz w:val="22"/>
                <w:lang w:val="en-US"/>
              </w:rPr>
              <w:t>programmes</w:t>
            </w:r>
            <w:proofErr w:type="spellEnd"/>
            <w:r w:rsidRPr="00715B2E">
              <w:rPr>
                <w:sz w:val="22"/>
                <w:lang w:val="en-US"/>
              </w:rPr>
              <w:t xml:space="preserve">, such as the Clean Development Mechanism (CDM), and a new market mechanism under the Paris Agreement, </w:t>
            </w:r>
            <w:r>
              <w:rPr>
                <w:sz w:val="22"/>
                <w:lang w:val="en-US"/>
              </w:rPr>
              <w:t>[…]</w:t>
            </w:r>
          </w:p>
        </w:tc>
        <w:tc>
          <w:tcPr>
            <w:tcW w:w="2254" w:type="dxa"/>
          </w:tcPr>
          <w:p w:rsidR="00565DF8" w:rsidRPr="00715B2E" w:rsidRDefault="00565DF8" w:rsidP="00565DF8">
            <w:pPr>
              <w:rPr>
                <w:sz w:val="22"/>
                <w:lang w:val="en-US"/>
              </w:rPr>
            </w:pPr>
            <w:r w:rsidRPr="00715B2E">
              <w:rPr>
                <w:i/>
                <w:iCs/>
                <w:sz w:val="22"/>
                <w:lang w:val="en-US"/>
              </w:rPr>
              <w:t xml:space="preserve">Whereas </w:t>
            </w:r>
            <w:r w:rsidRPr="00715B2E">
              <w:rPr>
                <w:sz w:val="22"/>
                <w:lang w:val="en-US"/>
              </w:rPr>
              <w:t xml:space="preserve">the UNFCCC provides for market-based mechanisms and other </w:t>
            </w:r>
            <w:proofErr w:type="spellStart"/>
            <w:r w:rsidRPr="00715B2E">
              <w:rPr>
                <w:sz w:val="22"/>
                <w:lang w:val="en-US"/>
              </w:rPr>
              <w:t>programmes</w:t>
            </w:r>
            <w:proofErr w:type="spellEnd"/>
            <w:r w:rsidRPr="00DB7D1C">
              <w:rPr>
                <w:strike/>
                <w:sz w:val="22"/>
                <w:lang w:val="en-US"/>
              </w:rPr>
              <w:t>, such as the Clean</w:t>
            </w:r>
            <w:r w:rsidRPr="00715B2E">
              <w:rPr>
                <w:strike/>
                <w:sz w:val="22"/>
                <w:lang w:val="en-US"/>
              </w:rPr>
              <w:t xml:space="preserve"> Development Mechanism (CDM), and a</w:t>
            </w:r>
            <w:r w:rsidRPr="00715B2E">
              <w:rPr>
                <w:sz w:val="22"/>
                <w:lang w:val="en-US"/>
              </w:rPr>
              <w:t xml:space="preserve"> </w:t>
            </w:r>
            <w:r>
              <w:rPr>
                <w:sz w:val="22"/>
                <w:lang w:val="en-US"/>
              </w:rPr>
              <w:t xml:space="preserve">including a </w:t>
            </w:r>
            <w:r w:rsidRPr="00715B2E">
              <w:rPr>
                <w:sz w:val="22"/>
                <w:lang w:val="en-US"/>
              </w:rPr>
              <w:t xml:space="preserve">new market mechanism under the Paris Agreement, </w:t>
            </w:r>
            <w:r>
              <w:rPr>
                <w:sz w:val="22"/>
                <w:lang w:val="en-US"/>
              </w:rPr>
              <w:t>[…]</w:t>
            </w:r>
          </w:p>
        </w:tc>
        <w:tc>
          <w:tcPr>
            <w:tcW w:w="2254" w:type="dxa"/>
          </w:tcPr>
          <w:p w:rsidR="00565DF8" w:rsidRPr="00715B2E" w:rsidRDefault="00565DF8" w:rsidP="00565DF8">
            <w:pPr>
              <w:rPr>
                <w:sz w:val="22"/>
                <w:lang w:val="en-US"/>
              </w:rPr>
            </w:pPr>
            <w:r>
              <w:rPr>
                <w:sz w:val="22"/>
                <w:lang w:val="en-US"/>
              </w:rPr>
              <w:t xml:space="preserve">CDM has no special status, and </w:t>
            </w:r>
            <w:proofErr w:type="gramStart"/>
            <w:r>
              <w:rPr>
                <w:sz w:val="22"/>
                <w:lang w:val="en-US"/>
              </w:rPr>
              <w:t>will at any rate have</w:t>
            </w:r>
            <w:proofErr w:type="gramEnd"/>
            <w:r>
              <w:rPr>
                <w:sz w:val="22"/>
                <w:lang w:val="en-US"/>
              </w:rPr>
              <w:t xml:space="preserve"> to be fundamentally altered if it is to continue as a mechanism under the PA. Giving it a special status in the decision is unwarranted.</w:t>
            </w:r>
            <w:r w:rsidRPr="00715B2E">
              <w:rPr>
                <w:sz w:val="22"/>
                <w:lang w:val="en-US"/>
              </w:rPr>
              <w:t xml:space="preserve"> </w:t>
            </w:r>
          </w:p>
        </w:tc>
      </w:tr>
    </w:tbl>
    <w:p w:rsidR="0069386E" w:rsidRPr="00235FB4" w:rsidRDefault="0069386E">
      <w:pPr>
        <w:rPr>
          <w:lang w:val="en-US"/>
        </w:rPr>
      </w:pPr>
      <w:bookmarkStart w:id="0" w:name="_GoBack"/>
      <w:bookmarkEnd w:id="0"/>
    </w:p>
    <w:sectPr w:rsidR="0069386E" w:rsidRPr="00235FB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714" w:rsidRDefault="007E4714" w:rsidP="00376251">
      <w:pPr>
        <w:spacing w:after="0" w:line="240" w:lineRule="auto"/>
      </w:pPr>
      <w:r>
        <w:separator/>
      </w:r>
    </w:p>
  </w:endnote>
  <w:endnote w:type="continuationSeparator" w:id="0">
    <w:p w:rsidR="007E4714" w:rsidRDefault="007E4714" w:rsidP="00376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251" w:rsidRDefault="00376251">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251" w:rsidRDefault="00376251">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251" w:rsidRDefault="00376251">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714" w:rsidRDefault="007E4714" w:rsidP="00376251">
      <w:pPr>
        <w:spacing w:after="0" w:line="240" w:lineRule="auto"/>
      </w:pPr>
      <w:r>
        <w:separator/>
      </w:r>
    </w:p>
  </w:footnote>
  <w:footnote w:type="continuationSeparator" w:id="0">
    <w:p w:rsidR="007E4714" w:rsidRDefault="007E4714" w:rsidP="003762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251" w:rsidRDefault="00376251">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251" w:rsidRDefault="00376251">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251" w:rsidRDefault="00376251">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81A6C"/>
    <w:multiLevelType w:val="hybridMultilevel"/>
    <w:tmpl w:val="CE763B46"/>
    <w:lvl w:ilvl="0" w:tplc="36688828">
      <w:start w:val="1"/>
      <w:numFmt w:val="bullet"/>
      <w:lvlText w:val="•"/>
      <w:lvlJc w:val="left"/>
      <w:pPr>
        <w:tabs>
          <w:tab w:val="num" w:pos="720"/>
        </w:tabs>
        <w:ind w:left="720" w:hanging="360"/>
      </w:pPr>
      <w:rPr>
        <w:rFonts w:ascii="Arial" w:hAnsi="Arial" w:hint="default"/>
      </w:rPr>
    </w:lvl>
    <w:lvl w:ilvl="1" w:tplc="DFBAA840">
      <w:start w:val="1"/>
      <w:numFmt w:val="bullet"/>
      <w:lvlText w:val="•"/>
      <w:lvlJc w:val="left"/>
      <w:pPr>
        <w:tabs>
          <w:tab w:val="num" w:pos="1440"/>
        </w:tabs>
        <w:ind w:left="1440" w:hanging="360"/>
      </w:pPr>
      <w:rPr>
        <w:rFonts w:ascii="Arial" w:hAnsi="Arial" w:hint="default"/>
      </w:rPr>
    </w:lvl>
    <w:lvl w:ilvl="2" w:tplc="2E5AB6F8" w:tentative="1">
      <w:start w:val="1"/>
      <w:numFmt w:val="bullet"/>
      <w:lvlText w:val="•"/>
      <w:lvlJc w:val="left"/>
      <w:pPr>
        <w:tabs>
          <w:tab w:val="num" w:pos="2160"/>
        </w:tabs>
        <w:ind w:left="2160" w:hanging="360"/>
      </w:pPr>
      <w:rPr>
        <w:rFonts w:ascii="Arial" w:hAnsi="Arial" w:hint="default"/>
      </w:rPr>
    </w:lvl>
    <w:lvl w:ilvl="3" w:tplc="F64C6902" w:tentative="1">
      <w:start w:val="1"/>
      <w:numFmt w:val="bullet"/>
      <w:lvlText w:val="•"/>
      <w:lvlJc w:val="left"/>
      <w:pPr>
        <w:tabs>
          <w:tab w:val="num" w:pos="2880"/>
        </w:tabs>
        <w:ind w:left="2880" w:hanging="360"/>
      </w:pPr>
      <w:rPr>
        <w:rFonts w:ascii="Arial" w:hAnsi="Arial" w:hint="default"/>
      </w:rPr>
    </w:lvl>
    <w:lvl w:ilvl="4" w:tplc="0E7C0AF6" w:tentative="1">
      <w:start w:val="1"/>
      <w:numFmt w:val="bullet"/>
      <w:lvlText w:val="•"/>
      <w:lvlJc w:val="left"/>
      <w:pPr>
        <w:tabs>
          <w:tab w:val="num" w:pos="3600"/>
        </w:tabs>
        <w:ind w:left="3600" w:hanging="360"/>
      </w:pPr>
      <w:rPr>
        <w:rFonts w:ascii="Arial" w:hAnsi="Arial" w:hint="default"/>
      </w:rPr>
    </w:lvl>
    <w:lvl w:ilvl="5" w:tplc="E304A18E" w:tentative="1">
      <w:start w:val="1"/>
      <w:numFmt w:val="bullet"/>
      <w:lvlText w:val="•"/>
      <w:lvlJc w:val="left"/>
      <w:pPr>
        <w:tabs>
          <w:tab w:val="num" w:pos="4320"/>
        </w:tabs>
        <w:ind w:left="4320" w:hanging="360"/>
      </w:pPr>
      <w:rPr>
        <w:rFonts w:ascii="Arial" w:hAnsi="Arial" w:hint="default"/>
      </w:rPr>
    </w:lvl>
    <w:lvl w:ilvl="6" w:tplc="5B94B90A" w:tentative="1">
      <w:start w:val="1"/>
      <w:numFmt w:val="bullet"/>
      <w:lvlText w:val="•"/>
      <w:lvlJc w:val="left"/>
      <w:pPr>
        <w:tabs>
          <w:tab w:val="num" w:pos="5040"/>
        </w:tabs>
        <w:ind w:left="5040" w:hanging="360"/>
      </w:pPr>
      <w:rPr>
        <w:rFonts w:ascii="Arial" w:hAnsi="Arial" w:hint="default"/>
      </w:rPr>
    </w:lvl>
    <w:lvl w:ilvl="7" w:tplc="49E2F5D4" w:tentative="1">
      <w:start w:val="1"/>
      <w:numFmt w:val="bullet"/>
      <w:lvlText w:val="•"/>
      <w:lvlJc w:val="left"/>
      <w:pPr>
        <w:tabs>
          <w:tab w:val="num" w:pos="5760"/>
        </w:tabs>
        <w:ind w:left="5760" w:hanging="360"/>
      </w:pPr>
      <w:rPr>
        <w:rFonts w:ascii="Arial" w:hAnsi="Arial" w:hint="default"/>
      </w:rPr>
    </w:lvl>
    <w:lvl w:ilvl="8" w:tplc="662652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78157C4"/>
    <w:multiLevelType w:val="hybridMultilevel"/>
    <w:tmpl w:val="8CF06EB8"/>
    <w:lvl w:ilvl="0" w:tplc="F9B6698E">
      <w:start w:val="1"/>
      <w:numFmt w:val="bullet"/>
      <w:lvlText w:val="•"/>
      <w:lvlJc w:val="left"/>
      <w:pPr>
        <w:tabs>
          <w:tab w:val="num" w:pos="720"/>
        </w:tabs>
        <w:ind w:left="720" w:hanging="360"/>
      </w:pPr>
      <w:rPr>
        <w:rFonts w:ascii="Arial" w:hAnsi="Arial" w:hint="default"/>
      </w:rPr>
    </w:lvl>
    <w:lvl w:ilvl="1" w:tplc="ED06869E">
      <w:start w:val="1"/>
      <w:numFmt w:val="bullet"/>
      <w:lvlText w:val="•"/>
      <w:lvlJc w:val="left"/>
      <w:pPr>
        <w:tabs>
          <w:tab w:val="num" w:pos="1440"/>
        </w:tabs>
        <w:ind w:left="1440" w:hanging="360"/>
      </w:pPr>
      <w:rPr>
        <w:rFonts w:ascii="Arial" w:hAnsi="Arial" w:hint="default"/>
      </w:rPr>
    </w:lvl>
    <w:lvl w:ilvl="2" w:tplc="FFC86512" w:tentative="1">
      <w:start w:val="1"/>
      <w:numFmt w:val="bullet"/>
      <w:lvlText w:val="•"/>
      <w:lvlJc w:val="left"/>
      <w:pPr>
        <w:tabs>
          <w:tab w:val="num" w:pos="2160"/>
        </w:tabs>
        <w:ind w:left="2160" w:hanging="360"/>
      </w:pPr>
      <w:rPr>
        <w:rFonts w:ascii="Arial" w:hAnsi="Arial" w:hint="default"/>
      </w:rPr>
    </w:lvl>
    <w:lvl w:ilvl="3" w:tplc="F1C84C96" w:tentative="1">
      <w:start w:val="1"/>
      <w:numFmt w:val="bullet"/>
      <w:lvlText w:val="•"/>
      <w:lvlJc w:val="left"/>
      <w:pPr>
        <w:tabs>
          <w:tab w:val="num" w:pos="2880"/>
        </w:tabs>
        <w:ind w:left="2880" w:hanging="360"/>
      </w:pPr>
      <w:rPr>
        <w:rFonts w:ascii="Arial" w:hAnsi="Arial" w:hint="default"/>
      </w:rPr>
    </w:lvl>
    <w:lvl w:ilvl="4" w:tplc="A6C8D974" w:tentative="1">
      <w:start w:val="1"/>
      <w:numFmt w:val="bullet"/>
      <w:lvlText w:val="•"/>
      <w:lvlJc w:val="left"/>
      <w:pPr>
        <w:tabs>
          <w:tab w:val="num" w:pos="3600"/>
        </w:tabs>
        <w:ind w:left="3600" w:hanging="360"/>
      </w:pPr>
      <w:rPr>
        <w:rFonts w:ascii="Arial" w:hAnsi="Arial" w:hint="default"/>
      </w:rPr>
    </w:lvl>
    <w:lvl w:ilvl="5" w:tplc="EADEEE14" w:tentative="1">
      <w:start w:val="1"/>
      <w:numFmt w:val="bullet"/>
      <w:lvlText w:val="•"/>
      <w:lvlJc w:val="left"/>
      <w:pPr>
        <w:tabs>
          <w:tab w:val="num" w:pos="4320"/>
        </w:tabs>
        <w:ind w:left="4320" w:hanging="360"/>
      </w:pPr>
      <w:rPr>
        <w:rFonts w:ascii="Arial" w:hAnsi="Arial" w:hint="default"/>
      </w:rPr>
    </w:lvl>
    <w:lvl w:ilvl="6" w:tplc="3626A8AA" w:tentative="1">
      <w:start w:val="1"/>
      <w:numFmt w:val="bullet"/>
      <w:lvlText w:val="•"/>
      <w:lvlJc w:val="left"/>
      <w:pPr>
        <w:tabs>
          <w:tab w:val="num" w:pos="5040"/>
        </w:tabs>
        <w:ind w:left="5040" w:hanging="360"/>
      </w:pPr>
      <w:rPr>
        <w:rFonts w:ascii="Arial" w:hAnsi="Arial" w:hint="default"/>
      </w:rPr>
    </w:lvl>
    <w:lvl w:ilvl="7" w:tplc="049C18D2" w:tentative="1">
      <w:start w:val="1"/>
      <w:numFmt w:val="bullet"/>
      <w:lvlText w:val="•"/>
      <w:lvlJc w:val="left"/>
      <w:pPr>
        <w:tabs>
          <w:tab w:val="num" w:pos="5760"/>
        </w:tabs>
        <w:ind w:left="5760" w:hanging="360"/>
      </w:pPr>
      <w:rPr>
        <w:rFonts w:ascii="Arial" w:hAnsi="Arial" w:hint="default"/>
      </w:rPr>
    </w:lvl>
    <w:lvl w:ilvl="8" w:tplc="B2A051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40E756A"/>
    <w:multiLevelType w:val="hybridMultilevel"/>
    <w:tmpl w:val="6B04EE00"/>
    <w:lvl w:ilvl="0" w:tplc="013CD526">
      <w:start w:val="1"/>
      <w:numFmt w:val="bullet"/>
      <w:lvlText w:val="•"/>
      <w:lvlJc w:val="left"/>
      <w:pPr>
        <w:tabs>
          <w:tab w:val="num" w:pos="720"/>
        </w:tabs>
        <w:ind w:left="720" w:hanging="360"/>
      </w:pPr>
      <w:rPr>
        <w:rFonts w:ascii="Arial" w:hAnsi="Arial" w:hint="default"/>
      </w:rPr>
    </w:lvl>
    <w:lvl w:ilvl="1" w:tplc="BE705ED6">
      <w:start w:val="1"/>
      <w:numFmt w:val="bullet"/>
      <w:lvlText w:val="•"/>
      <w:lvlJc w:val="left"/>
      <w:pPr>
        <w:tabs>
          <w:tab w:val="num" w:pos="1440"/>
        </w:tabs>
        <w:ind w:left="1440" w:hanging="360"/>
      </w:pPr>
      <w:rPr>
        <w:rFonts w:ascii="Arial" w:hAnsi="Arial" w:hint="default"/>
      </w:rPr>
    </w:lvl>
    <w:lvl w:ilvl="2" w:tplc="B19C4E82" w:tentative="1">
      <w:start w:val="1"/>
      <w:numFmt w:val="bullet"/>
      <w:lvlText w:val="•"/>
      <w:lvlJc w:val="left"/>
      <w:pPr>
        <w:tabs>
          <w:tab w:val="num" w:pos="2160"/>
        </w:tabs>
        <w:ind w:left="2160" w:hanging="360"/>
      </w:pPr>
      <w:rPr>
        <w:rFonts w:ascii="Arial" w:hAnsi="Arial" w:hint="default"/>
      </w:rPr>
    </w:lvl>
    <w:lvl w:ilvl="3" w:tplc="61BA9830" w:tentative="1">
      <w:start w:val="1"/>
      <w:numFmt w:val="bullet"/>
      <w:lvlText w:val="•"/>
      <w:lvlJc w:val="left"/>
      <w:pPr>
        <w:tabs>
          <w:tab w:val="num" w:pos="2880"/>
        </w:tabs>
        <w:ind w:left="2880" w:hanging="360"/>
      </w:pPr>
      <w:rPr>
        <w:rFonts w:ascii="Arial" w:hAnsi="Arial" w:hint="default"/>
      </w:rPr>
    </w:lvl>
    <w:lvl w:ilvl="4" w:tplc="1700C284" w:tentative="1">
      <w:start w:val="1"/>
      <w:numFmt w:val="bullet"/>
      <w:lvlText w:val="•"/>
      <w:lvlJc w:val="left"/>
      <w:pPr>
        <w:tabs>
          <w:tab w:val="num" w:pos="3600"/>
        </w:tabs>
        <w:ind w:left="3600" w:hanging="360"/>
      </w:pPr>
      <w:rPr>
        <w:rFonts w:ascii="Arial" w:hAnsi="Arial" w:hint="default"/>
      </w:rPr>
    </w:lvl>
    <w:lvl w:ilvl="5" w:tplc="C9206622" w:tentative="1">
      <w:start w:val="1"/>
      <w:numFmt w:val="bullet"/>
      <w:lvlText w:val="•"/>
      <w:lvlJc w:val="left"/>
      <w:pPr>
        <w:tabs>
          <w:tab w:val="num" w:pos="4320"/>
        </w:tabs>
        <w:ind w:left="4320" w:hanging="360"/>
      </w:pPr>
      <w:rPr>
        <w:rFonts w:ascii="Arial" w:hAnsi="Arial" w:hint="default"/>
      </w:rPr>
    </w:lvl>
    <w:lvl w:ilvl="6" w:tplc="C1300096" w:tentative="1">
      <w:start w:val="1"/>
      <w:numFmt w:val="bullet"/>
      <w:lvlText w:val="•"/>
      <w:lvlJc w:val="left"/>
      <w:pPr>
        <w:tabs>
          <w:tab w:val="num" w:pos="5040"/>
        </w:tabs>
        <w:ind w:left="5040" w:hanging="360"/>
      </w:pPr>
      <w:rPr>
        <w:rFonts w:ascii="Arial" w:hAnsi="Arial" w:hint="default"/>
      </w:rPr>
    </w:lvl>
    <w:lvl w:ilvl="7" w:tplc="B766456C" w:tentative="1">
      <w:start w:val="1"/>
      <w:numFmt w:val="bullet"/>
      <w:lvlText w:val="•"/>
      <w:lvlJc w:val="left"/>
      <w:pPr>
        <w:tabs>
          <w:tab w:val="num" w:pos="5760"/>
        </w:tabs>
        <w:ind w:left="5760" w:hanging="360"/>
      </w:pPr>
      <w:rPr>
        <w:rFonts w:ascii="Arial" w:hAnsi="Arial" w:hint="default"/>
      </w:rPr>
    </w:lvl>
    <w:lvl w:ilvl="8" w:tplc="A2A88E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700420B"/>
    <w:multiLevelType w:val="hybridMultilevel"/>
    <w:tmpl w:val="A6F0F26C"/>
    <w:lvl w:ilvl="0" w:tplc="9CD4E3DE">
      <w:start w:val="1"/>
      <w:numFmt w:val="bullet"/>
      <w:lvlText w:val="•"/>
      <w:lvlJc w:val="left"/>
      <w:pPr>
        <w:tabs>
          <w:tab w:val="num" w:pos="720"/>
        </w:tabs>
        <w:ind w:left="720" w:hanging="360"/>
      </w:pPr>
      <w:rPr>
        <w:rFonts w:ascii="Arial" w:hAnsi="Arial" w:hint="default"/>
      </w:rPr>
    </w:lvl>
    <w:lvl w:ilvl="1" w:tplc="7F9639D2">
      <w:start w:val="1"/>
      <w:numFmt w:val="bullet"/>
      <w:lvlText w:val="•"/>
      <w:lvlJc w:val="left"/>
      <w:pPr>
        <w:tabs>
          <w:tab w:val="num" w:pos="1440"/>
        </w:tabs>
        <w:ind w:left="1440" w:hanging="360"/>
      </w:pPr>
      <w:rPr>
        <w:rFonts w:ascii="Arial" w:hAnsi="Arial" w:hint="default"/>
      </w:rPr>
    </w:lvl>
    <w:lvl w:ilvl="2" w:tplc="9C68AC2A" w:tentative="1">
      <w:start w:val="1"/>
      <w:numFmt w:val="bullet"/>
      <w:lvlText w:val="•"/>
      <w:lvlJc w:val="left"/>
      <w:pPr>
        <w:tabs>
          <w:tab w:val="num" w:pos="2160"/>
        </w:tabs>
        <w:ind w:left="2160" w:hanging="360"/>
      </w:pPr>
      <w:rPr>
        <w:rFonts w:ascii="Arial" w:hAnsi="Arial" w:hint="default"/>
      </w:rPr>
    </w:lvl>
    <w:lvl w:ilvl="3" w:tplc="36BC36FA" w:tentative="1">
      <w:start w:val="1"/>
      <w:numFmt w:val="bullet"/>
      <w:lvlText w:val="•"/>
      <w:lvlJc w:val="left"/>
      <w:pPr>
        <w:tabs>
          <w:tab w:val="num" w:pos="2880"/>
        </w:tabs>
        <w:ind w:left="2880" w:hanging="360"/>
      </w:pPr>
      <w:rPr>
        <w:rFonts w:ascii="Arial" w:hAnsi="Arial" w:hint="default"/>
      </w:rPr>
    </w:lvl>
    <w:lvl w:ilvl="4" w:tplc="9B802670" w:tentative="1">
      <w:start w:val="1"/>
      <w:numFmt w:val="bullet"/>
      <w:lvlText w:val="•"/>
      <w:lvlJc w:val="left"/>
      <w:pPr>
        <w:tabs>
          <w:tab w:val="num" w:pos="3600"/>
        </w:tabs>
        <w:ind w:left="3600" w:hanging="360"/>
      </w:pPr>
      <w:rPr>
        <w:rFonts w:ascii="Arial" w:hAnsi="Arial" w:hint="default"/>
      </w:rPr>
    </w:lvl>
    <w:lvl w:ilvl="5" w:tplc="DF1CBB7A" w:tentative="1">
      <w:start w:val="1"/>
      <w:numFmt w:val="bullet"/>
      <w:lvlText w:val="•"/>
      <w:lvlJc w:val="left"/>
      <w:pPr>
        <w:tabs>
          <w:tab w:val="num" w:pos="4320"/>
        </w:tabs>
        <w:ind w:left="4320" w:hanging="360"/>
      </w:pPr>
      <w:rPr>
        <w:rFonts w:ascii="Arial" w:hAnsi="Arial" w:hint="default"/>
      </w:rPr>
    </w:lvl>
    <w:lvl w:ilvl="6" w:tplc="CB5C2C62" w:tentative="1">
      <w:start w:val="1"/>
      <w:numFmt w:val="bullet"/>
      <w:lvlText w:val="•"/>
      <w:lvlJc w:val="left"/>
      <w:pPr>
        <w:tabs>
          <w:tab w:val="num" w:pos="5040"/>
        </w:tabs>
        <w:ind w:left="5040" w:hanging="360"/>
      </w:pPr>
      <w:rPr>
        <w:rFonts w:ascii="Arial" w:hAnsi="Arial" w:hint="default"/>
      </w:rPr>
    </w:lvl>
    <w:lvl w:ilvl="7" w:tplc="F6B4F2B2" w:tentative="1">
      <w:start w:val="1"/>
      <w:numFmt w:val="bullet"/>
      <w:lvlText w:val="•"/>
      <w:lvlJc w:val="left"/>
      <w:pPr>
        <w:tabs>
          <w:tab w:val="num" w:pos="5760"/>
        </w:tabs>
        <w:ind w:left="5760" w:hanging="360"/>
      </w:pPr>
      <w:rPr>
        <w:rFonts w:ascii="Arial" w:hAnsi="Arial" w:hint="default"/>
      </w:rPr>
    </w:lvl>
    <w:lvl w:ilvl="8" w:tplc="21FAF8C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D40057F"/>
    <w:multiLevelType w:val="hybridMultilevel"/>
    <w:tmpl w:val="2836ECA4"/>
    <w:lvl w:ilvl="0" w:tplc="F7F03C78">
      <w:start w:val="1"/>
      <w:numFmt w:val="bullet"/>
      <w:lvlText w:val="•"/>
      <w:lvlJc w:val="left"/>
      <w:pPr>
        <w:tabs>
          <w:tab w:val="num" w:pos="720"/>
        </w:tabs>
        <w:ind w:left="720" w:hanging="360"/>
      </w:pPr>
      <w:rPr>
        <w:rFonts w:ascii="Arial" w:hAnsi="Arial" w:hint="default"/>
      </w:rPr>
    </w:lvl>
    <w:lvl w:ilvl="1" w:tplc="13CA76EE">
      <w:start w:val="1"/>
      <w:numFmt w:val="bullet"/>
      <w:lvlText w:val="•"/>
      <w:lvlJc w:val="left"/>
      <w:pPr>
        <w:tabs>
          <w:tab w:val="num" w:pos="1440"/>
        </w:tabs>
        <w:ind w:left="1440" w:hanging="360"/>
      </w:pPr>
      <w:rPr>
        <w:rFonts w:ascii="Arial" w:hAnsi="Arial" w:hint="default"/>
      </w:rPr>
    </w:lvl>
    <w:lvl w:ilvl="2" w:tplc="2162FC66" w:tentative="1">
      <w:start w:val="1"/>
      <w:numFmt w:val="bullet"/>
      <w:lvlText w:val="•"/>
      <w:lvlJc w:val="left"/>
      <w:pPr>
        <w:tabs>
          <w:tab w:val="num" w:pos="2160"/>
        </w:tabs>
        <w:ind w:left="2160" w:hanging="360"/>
      </w:pPr>
      <w:rPr>
        <w:rFonts w:ascii="Arial" w:hAnsi="Arial" w:hint="default"/>
      </w:rPr>
    </w:lvl>
    <w:lvl w:ilvl="3" w:tplc="9E7207E4" w:tentative="1">
      <w:start w:val="1"/>
      <w:numFmt w:val="bullet"/>
      <w:lvlText w:val="•"/>
      <w:lvlJc w:val="left"/>
      <w:pPr>
        <w:tabs>
          <w:tab w:val="num" w:pos="2880"/>
        </w:tabs>
        <w:ind w:left="2880" w:hanging="360"/>
      </w:pPr>
      <w:rPr>
        <w:rFonts w:ascii="Arial" w:hAnsi="Arial" w:hint="default"/>
      </w:rPr>
    </w:lvl>
    <w:lvl w:ilvl="4" w:tplc="FD98751A" w:tentative="1">
      <w:start w:val="1"/>
      <w:numFmt w:val="bullet"/>
      <w:lvlText w:val="•"/>
      <w:lvlJc w:val="left"/>
      <w:pPr>
        <w:tabs>
          <w:tab w:val="num" w:pos="3600"/>
        </w:tabs>
        <w:ind w:left="3600" w:hanging="360"/>
      </w:pPr>
      <w:rPr>
        <w:rFonts w:ascii="Arial" w:hAnsi="Arial" w:hint="default"/>
      </w:rPr>
    </w:lvl>
    <w:lvl w:ilvl="5" w:tplc="D9F4E3F4" w:tentative="1">
      <w:start w:val="1"/>
      <w:numFmt w:val="bullet"/>
      <w:lvlText w:val="•"/>
      <w:lvlJc w:val="left"/>
      <w:pPr>
        <w:tabs>
          <w:tab w:val="num" w:pos="4320"/>
        </w:tabs>
        <w:ind w:left="4320" w:hanging="360"/>
      </w:pPr>
      <w:rPr>
        <w:rFonts w:ascii="Arial" w:hAnsi="Arial" w:hint="default"/>
      </w:rPr>
    </w:lvl>
    <w:lvl w:ilvl="6" w:tplc="97204484" w:tentative="1">
      <w:start w:val="1"/>
      <w:numFmt w:val="bullet"/>
      <w:lvlText w:val="•"/>
      <w:lvlJc w:val="left"/>
      <w:pPr>
        <w:tabs>
          <w:tab w:val="num" w:pos="5040"/>
        </w:tabs>
        <w:ind w:left="5040" w:hanging="360"/>
      </w:pPr>
      <w:rPr>
        <w:rFonts w:ascii="Arial" w:hAnsi="Arial" w:hint="default"/>
      </w:rPr>
    </w:lvl>
    <w:lvl w:ilvl="7" w:tplc="0B807700" w:tentative="1">
      <w:start w:val="1"/>
      <w:numFmt w:val="bullet"/>
      <w:lvlText w:val="•"/>
      <w:lvlJc w:val="left"/>
      <w:pPr>
        <w:tabs>
          <w:tab w:val="num" w:pos="5760"/>
        </w:tabs>
        <w:ind w:left="5760" w:hanging="360"/>
      </w:pPr>
      <w:rPr>
        <w:rFonts w:ascii="Arial" w:hAnsi="Arial" w:hint="default"/>
      </w:rPr>
    </w:lvl>
    <w:lvl w:ilvl="8" w:tplc="DB0AD16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FB4"/>
    <w:rsid w:val="0004039D"/>
    <w:rsid w:val="00064AF6"/>
    <w:rsid w:val="000C467A"/>
    <w:rsid w:val="00202E31"/>
    <w:rsid w:val="0022294D"/>
    <w:rsid w:val="00234DCD"/>
    <w:rsid w:val="00235FB4"/>
    <w:rsid w:val="00277FB7"/>
    <w:rsid w:val="002A7951"/>
    <w:rsid w:val="00302164"/>
    <w:rsid w:val="00334AED"/>
    <w:rsid w:val="00376251"/>
    <w:rsid w:val="003C5D29"/>
    <w:rsid w:val="00435D81"/>
    <w:rsid w:val="00451C04"/>
    <w:rsid w:val="004976C2"/>
    <w:rsid w:val="004B49A4"/>
    <w:rsid w:val="00565DF8"/>
    <w:rsid w:val="005C6415"/>
    <w:rsid w:val="005D2685"/>
    <w:rsid w:val="0069386E"/>
    <w:rsid w:val="00696A06"/>
    <w:rsid w:val="006A33C9"/>
    <w:rsid w:val="006D58D8"/>
    <w:rsid w:val="007909FD"/>
    <w:rsid w:val="007E046A"/>
    <w:rsid w:val="007E4714"/>
    <w:rsid w:val="008071FF"/>
    <w:rsid w:val="00844C4D"/>
    <w:rsid w:val="00891618"/>
    <w:rsid w:val="008C4F85"/>
    <w:rsid w:val="008F0AB0"/>
    <w:rsid w:val="00905BE5"/>
    <w:rsid w:val="009243DB"/>
    <w:rsid w:val="009268BD"/>
    <w:rsid w:val="00926EBF"/>
    <w:rsid w:val="00A0382F"/>
    <w:rsid w:val="00A25732"/>
    <w:rsid w:val="00B07E4B"/>
    <w:rsid w:val="00B82AB3"/>
    <w:rsid w:val="00BA1445"/>
    <w:rsid w:val="00BB2DCF"/>
    <w:rsid w:val="00C955F7"/>
    <w:rsid w:val="00CB3A5E"/>
    <w:rsid w:val="00DF76C4"/>
    <w:rsid w:val="00F60C3F"/>
    <w:rsid w:val="00FA31E3"/>
    <w:rsid w:val="00FB2058"/>
    <w:rsid w:val="00FC0362"/>
    <w:rsid w:val="00FD08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7068EEB-54C0-40BE-9C1F-FCA6ACA6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415"/>
    <w:rPr>
      <w:rFonts w:ascii="Times New Roman" w:hAnsi="Times New Roman"/>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76251"/>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376251"/>
    <w:rPr>
      <w:rFonts w:ascii="Times New Roman" w:hAnsi="Times New Roman"/>
      <w:sz w:val="24"/>
    </w:rPr>
  </w:style>
  <w:style w:type="paragraph" w:styleId="Bunntekst">
    <w:name w:val="footer"/>
    <w:basedOn w:val="Normal"/>
    <w:link w:val="BunntekstTegn"/>
    <w:uiPriority w:val="99"/>
    <w:unhideWhenUsed/>
    <w:rsid w:val="00376251"/>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376251"/>
    <w:rPr>
      <w:rFonts w:ascii="Times New Roman" w:hAnsi="Times New Roman"/>
      <w:sz w:val="24"/>
    </w:rPr>
  </w:style>
  <w:style w:type="table" w:styleId="Tabellrutenett">
    <w:name w:val="Table Grid"/>
    <w:basedOn w:val="Vanligtabell"/>
    <w:uiPriority w:val="39"/>
    <w:rsid w:val="00235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235FB4"/>
    <w:rPr>
      <w:sz w:val="16"/>
      <w:szCs w:val="16"/>
    </w:rPr>
  </w:style>
  <w:style w:type="paragraph" w:styleId="Merknadstekst">
    <w:name w:val="annotation text"/>
    <w:basedOn w:val="Normal"/>
    <w:link w:val="MerknadstekstTegn"/>
    <w:uiPriority w:val="99"/>
    <w:semiHidden/>
    <w:unhideWhenUsed/>
    <w:rsid w:val="00235FB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35FB4"/>
    <w:rPr>
      <w:rFonts w:ascii="Times New Roman" w:hAnsi="Times New Roman"/>
      <w:sz w:val="20"/>
      <w:szCs w:val="20"/>
    </w:rPr>
  </w:style>
  <w:style w:type="paragraph" w:styleId="Bobletekst">
    <w:name w:val="Balloon Text"/>
    <w:basedOn w:val="Normal"/>
    <w:link w:val="BobletekstTegn"/>
    <w:uiPriority w:val="99"/>
    <w:semiHidden/>
    <w:unhideWhenUsed/>
    <w:rsid w:val="00235FB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35FB4"/>
    <w:rPr>
      <w:rFonts w:ascii="Segoe UI" w:hAnsi="Segoe UI" w:cs="Segoe UI"/>
      <w:sz w:val="18"/>
      <w:szCs w:val="18"/>
    </w:rPr>
  </w:style>
  <w:style w:type="paragraph" w:styleId="Listeavsnitt">
    <w:name w:val="List Paragraph"/>
    <w:basedOn w:val="Normal"/>
    <w:uiPriority w:val="34"/>
    <w:qFormat/>
    <w:rsid w:val="006A33C9"/>
    <w:pPr>
      <w:spacing w:after="0" w:line="240" w:lineRule="auto"/>
      <w:ind w:left="720"/>
      <w:contextualSpacing/>
    </w:pPr>
    <w:rPr>
      <w:rFonts w:eastAsia="Times New Roman" w:cs="Times New Roman"/>
      <w:szCs w:val="24"/>
      <w:lang w:eastAsia="nb-NO"/>
    </w:rPr>
  </w:style>
  <w:style w:type="paragraph" w:customStyle="1" w:styleId="Default">
    <w:name w:val="Default"/>
    <w:rsid w:val="00BA144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326">
      <w:bodyDiv w:val="1"/>
      <w:marLeft w:val="0"/>
      <w:marRight w:val="0"/>
      <w:marTop w:val="0"/>
      <w:marBottom w:val="0"/>
      <w:divBdr>
        <w:top w:val="none" w:sz="0" w:space="0" w:color="auto"/>
        <w:left w:val="none" w:sz="0" w:space="0" w:color="auto"/>
        <w:bottom w:val="none" w:sz="0" w:space="0" w:color="auto"/>
        <w:right w:val="none" w:sz="0" w:space="0" w:color="auto"/>
      </w:divBdr>
      <w:divsChild>
        <w:div w:id="1765228231">
          <w:marLeft w:val="720"/>
          <w:marRight w:val="0"/>
          <w:marTop w:val="0"/>
          <w:marBottom w:val="60"/>
          <w:divBdr>
            <w:top w:val="none" w:sz="0" w:space="0" w:color="auto"/>
            <w:left w:val="none" w:sz="0" w:space="0" w:color="auto"/>
            <w:bottom w:val="none" w:sz="0" w:space="0" w:color="auto"/>
            <w:right w:val="none" w:sz="0" w:space="0" w:color="auto"/>
          </w:divBdr>
        </w:div>
      </w:divsChild>
    </w:div>
    <w:div w:id="1376082612">
      <w:bodyDiv w:val="1"/>
      <w:marLeft w:val="0"/>
      <w:marRight w:val="0"/>
      <w:marTop w:val="0"/>
      <w:marBottom w:val="0"/>
      <w:divBdr>
        <w:top w:val="none" w:sz="0" w:space="0" w:color="auto"/>
        <w:left w:val="none" w:sz="0" w:space="0" w:color="auto"/>
        <w:bottom w:val="none" w:sz="0" w:space="0" w:color="auto"/>
        <w:right w:val="none" w:sz="0" w:space="0" w:color="auto"/>
      </w:divBdr>
      <w:divsChild>
        <w:div w:id="1406342484">
          <w:marLeft w:val="720"/>
          <w:marRight w:val="0"/>
          <w:marTop w:val="0"/>
          <w:marBottom w:val="60"/>
          <w:divBdr>
            <w:top w:val="none" w:sz="0" w:space="0" w:color="auto"/>
            <w:left w:val="none" w:sz="0" w:space="0" w:color="auto"/>
            <w:bottom w:val="none" w:sz="0" w:space="0" w:color="auto"/>
            <w:right w:val="none" w:sz="0" w:space="0" w:color="auto"/>
          </w:divBdr>
        </w:div>
      </w:divsChild>
    </w:div>
    <w:div w:id="1675647385">
      <w:bodyDiv w:val="1"/>
      <w:marLeft w:val="0"/>
      <w:marRight w:val="0"/>
      <w:marTop w:val="0"/>
      <w:marBottom w:val="0"/>
      <w:divBdr>
        <w:top w:val="none" w:sz="0" w:space="0" w:color="auto"/>
        <w:left w:val="none" w:sz="0" w:space="0" w:color="auto"/>
        <w:bottom w:val="none" w:sz="0" w:space="0" w:color="auto"/>
        <w:right w:val="none" w:sz="0" w:space="0" w:color="auto"/>
      </w:divBdr>
      <w:divsChild>
        <w:div w:id="1254051371">
          <w:marLeft w:val="720"/>
          <w:marRight w:val="0"/>
          <w:marTop w:val="0"/>
          <w:marBottom w:val="60"/>
          <w:divBdr>
            <w:top w:val="none" w:sz="0" w:space="0" w:color="auto"/>
            <w:left w:val="none" w:sz="0" w:space="0" w:color="auto"/>
            <w:bottom w:val="none" w:sz="0" w:space="0" w:color="auto"/>
            <w:right w:val="none" w:sz="0" w:space="0" w:color="auto"/>
          </w:divBdr>
        </w:div>
      </w:divsChild>
    </w:div>
    <w:div w:id="1727215817">
      <w:bodyDiv w:val="1"/>
      <w:marLeft w:val="0"/>
      <w:marRight w:val="0"/>
      <w:marTop w:val="0"/>
      <w:marBottom w:val="0"/>
      <w:divBdr>
        <w:top w:val="none" w:sz="0" w:space="0" w:color="auto"/>
        <w:left w:val="none" w:sz="0" w:space="0" w:color="auto"/>
        <w:bottom w:val="none" w:sz="0" w:space="0" w:color="auto"/>
        <w:right w:val="none" w:sz="0" w:space="0" w:color="auto"/>
      </w:divBdr>
      <w:divsChild>
        <w:div w:id="919867119">
          <w:marLeft w:val="720"/>
          <w:marRight w:val="0"/>
          <w:marTop w:val="0"/>
          <w:marBottom w:val="60"/>
          <w:divBdr>
            <w:top w:val="none" w:sz="0" w:space="0" w:color="auto"/>
            <w:left w:val="none" w:sz="0" w:space="0" w:color="auto"/>
            <w:bottom w:val="none" w:sz="0" w:space="0" w:color="auto"/>
            <w:right w:val="none" w:sz="0" w:space="0" w:color="auto"/>
          </w:divBdr>
        </w:div>
      </w:divsChild>
    </w:div>
    <w:div w:id="1759447658">
      <w:bodyDiv w:val="1"/>
      <w:marLeft w:val="0"/>
      <w:marRight w:val="0"/>
      <w:marTop w:val="0"/>
      <w:marBottom w:val="0"/>
      <w:divBdr>
        <w:top w:val="none" w:sz="0" w:space="0" w:color="auto"/>
        <w:left w:val="none" w:sz="0" w:space="0" w:color="auto"/>
        <w:bottom w:val="none" w:sz="0" w:space="0" w:color="auto"/>
        <w:right w:val="none" w:sz="0" w:space="0" w:color="auto"/>
      </w:divBdr>
      <w:divsChild>
        <w:div w:id="1616866768">
          <w:marLeft w:val="720"/>
          <w:marRight w:val="0"/>
          <w:marTop w:val="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20E4FC40AAB747983CD6159DD3A32F" ma:contentTypeVersion="" ma:contentTypeDescription="Create a new document." ma:contentTypeScope="" ma:versionID="f04a341621964dfdee61f5ad63ad725f">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28FD0E-CB98-448E-B9AB-C93A10B10EAB}"/>
</file>

<file path=customXml/itemProps2.xml><?xml version="1.0" encoding="utf-8"?>
<ds:datastoreItem xmlns:ds="http://schemas.openxmlformats.org/officeDocument/2006/customXml" ds:itemID="{5DEEAD8A-D0E4-49E1-8D94-E988C06CB12C}"/>
</file>

<file path=customXml/itemProps3.xml><?xml version="1.0" encoding="utf-8"?>
<ds:datastoreItem xmlns:ds="http://schemas.openxmlformats.org/officeDocument/2006/customXml" ds:itemID="{F30AAE05-045F-44FD-911A-9A46C6A7869D}"/>
</file>

<file path=docProps/app.xml><?xml version="1.0" encoding="utf-8"?>
<Properties xmlns="http://schemas.openxmlformats.org/officeDocument/2006/extended-properties" xmlns:vt="http://schemas.openxmlformats.org/officeDocument/2006/docPropsVTypes">
  <Template>Normal.dotm</Template>
  <TotalTime>1</TotalTime>
  <Pages>3</Pages>
  <Words>784</Words>
  <Characters>4159</Characters>
  <Application>Microsoft Office Word</Application>
  <DocSecurity>4</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Sendstad Marte</dc:creator>
  <cp:keywords/>
  <dc:description/>
  <cp:lastModifiedBy>Kronen Terje</cp:lastModifiedBy>
  <cp:revision>2</cp:revision>
  <dcterms:created xsi:type="dcterms:W3CDTF">2016-08-23T11:26:00Z</dcterms:created>
  <dcterms:modified xsi:type="dcterms:W3CDTF">2016-08-23T11:26:00Z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0x010100C520E4FC40AAB747983CD6159DD3A32F</vt:lpwstr>
  </property>
</Properties>
</file>