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1C" w:rsidRDefault="00BD160F" w:rsidP="00BD160F">
      <w:pPr>
        <w:kinsoku w:val="0"/>
        <w:overflowPunct w:val="0"/>
        <w:ind w:left="717" w:right="-36"/>
        <w:jc w:val="center"/>
        <w:rPr>
          <w:b/>
          <w:szCs w:val="22"/>
        </w:rPr>
      </w:pPr>
      <w:r w:rsidRPr="006A6A1C">
        <w:rPr>
          <w:b/>
          <w:bCs/>
          <w:szCs w:val="22"/>
        </w:rPr>
        <w:t xml:space="preserve">SURVEY ON NEEDS AND EXPECTATIONS OF THE </w:t>
      </w:r>
      <w:r w:rsidRPr="006A6A1C">
        <w:rPr>
          <w:b/>
          <w:szCs w:val="22"/>
        </w:rPr>
        <w:t xml:space="preserve">NAM/CAR/SAM </w:t>
      </w:r>
    </w:p>
    <w:p w:rsidR="00BD160F" w:rsidRPr="006A6A1C" w:rsidRDefault="006A6EFB" w:rsidP="00BD160F">
      <w:pPr>
        <w:kinsoku w:val="0"/>
        <w:overflowPunct w:val="0"/>
        <w:ind w:left="717" w:right="-36"/>
        <w:jc w:val="center"/>
        <w:rPr>
          <w:b/>
          <w:bCs/>
          <w:szCs w:val="22"/>
        </w:rPr>
      </w:pPr>
      <w:r w:rsidRPr="006A6A1C">
        <w:rPr>
          <w:b/>
          <w:szCs w:val="22"/>
        </w:rPr>
        <w:t xml:space="preserve">ATS </w:t>
      </w:r>
      <w:r w:rsidR="00D90FAC">
        <w:rPr>
          <w:b/>
          <w:szCs w:val="22"/>
        </w:rPr>
        <w:t>DATA LINK</w:t>
      </w:r>
      <w:r w:rsidR="00BD160F" w:rsidRPr="006A6A1C">
        <w:rPr>
          <w:b/>
          <w:szCs w:val="22"/>
        </w:rPr>
        <w:t xml:space="preserve"> </w:t>
      </w:r>
      <w:r w:rsidRPr="006A6A1C">
        <w:rPr>
          <w:b/>
          <w:szCs w:val="22"/>
        </w:rPr>
        <w:t>IMPLEMENTATION</w:t>
      </w:r>
      <w:r w:rsidR="00BD160F" w:rsidRPr="006A6A1C">
        <w:rPr>
          <w:b/>
          <w:szCs w:val="22"/>
        </w:rPr>
        <w:t xml:space="preserve"> WORKSHOP</w:t>
      </w:r>
    </w:p>
    <w:p w:rsidR="00BD160F" w:rsidRPr="006A6A1C" w:rsidRDefault="00BD160F" w:rsidP="00BD160F">
      <w:pPr>
        <w:kinsoku w:val="0"/>
        <w:overflowPunct w:val="0"/>
        <w:ind w:left="717" w:right="-36"/>
        <w:jc w:val="center"/>
        <w:rPr>
          <w:b/>
          <w:bCs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b/>
          <w:bCs/>
          <w:kern w:val="24"/>
          <w:szCs w:val="22"/>
        </w:rPr>
        <w:t>1. INTRODUCTION</w:t>
      </w:r>
      <w:r w:rsidRPr="006A6A1C">
        <w:rPr>
          <w:kern w:val="24"/>
          <w:szCs w:val="22"/>
        </w:rPr>
        <w:t xml:space="preserve"> 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1.1</w:t>
      </w:r>
      <w:r w:rsidRPr="006A6A1C">
        <w:rPr>
          <w:kern w:val="24"/>
          <w:szCs w:val="22"/>
        </w:rPr>
        <w:tab/>
        <w:t>Your representatives to the various international meetings throughout the year</w:t>
      </w:r>
      <w:r w:rsidR="00524D5C">
        <w:rPr>
          <w:kern w:val="24"/>
          <w:szCs w:val="22"/>
        </w:rPr>
        <w:t>s</w:t>
      </w:r>
      <w:r w:rsidRPr="006A6A1C">
        <w:rPr>
          <w:kern w:val="24"/>
          <w:szCs w:val="22"/>
        </w:rPr>
        <w:t xml:space="preserve"> have expressed interest in receiving information and</w:t>
      </w:r>
      <w:r w:rsidR="00BA4A25">
        <w:rPr>
          <w:kern w:val="24"/>
          <w:szCs w:val="22"/>
        </w:rPr>
        <w:t xml:space="preserve"> </w:t>
      </w:r>
      <w:r w:rsidRPr="006A6A1C">
        <w:rPr>
          <w:kern w:val="24"/>
          <w:szCs w:val="22"/>
        </w:rPr>
        <w:t xml:space="preserve">instruction on implementation of </w:t>
      </w:r>
      <w:r w:rsidRPr="006A6A1C">
        <w:rPr>
          <w:szCs w:val="22"/>
        </w:rPr>
        <w:t xml:space="preserve">data link </w:t>
      </w:r>
      <w:r w:rsidR="006A6A1C" w:rsidRPr="006A6A1C">
        <w:rPr>
          <w:kern w:val="24"/>
          <w:szCs w:val="22"/>
        </w:rPr>
        <w:t xml:space="preserve">Controller-Pilot Data Link Communications </w:t>
      </w:r>
      <w:r w:rsidRPr="006A6A1C">
        <w:rPr>
          <w:kern w:val="24"/>
          <w:szCs w:val="22"/>
        </w:rPr>
        <w:t>(</w:t>
      </w:r>
      <w:proofErr w:type="spellStart"/>
      <w:r w:rsidRPr="006A6A1C">
        <w:rPr>
          <w:kern w:val="24"/>
          <w:szCs w:val="22"/>
        </w:rPr>
        <w:t>CPDLC</w:t>
      </w:r>
      <w:proofErr w:type="spellEnd"/>
      <w:r w:rsidRPr="006A6A1C">
        <w:rPr>
          <w:kern w:val="24"/>
          <w:szCs w:val="22"/>
        </w:rPr>
        <w:t xml:space="preserve">) and </w:t>
      </w:r>
      <w:r w:rsidR="006A6A1C">
        <w:rPr>
          <w:kern w:val="24"/>
          <w:szCs w:val="22"/>
        </w:rPr>
        <w:t>A</w:t>
      </w:r>
      <w:r w:rsidRPr="006A6A1C">
        <w:rPr>
          <w:kern w:val="24"/>
          <w:szCs w:val="22"/>
        </w:rPr>
        <w:t xml:space="preserve">utomatic </w:t>
      </w:r>
      <w:r w:rsidR="006A6A1C">
        <w:rPr>
          <w:kern w:val="24"/>
          <w:szCs w:val="22"/>
        </w:rPr>
        <w:t>D</w:t>
      </w:r>
      <w:r w:rsidRPr="006A6A1C">
        <w:rPr>
          <w:kern w:val="24"/>
          <w:szCs w:val="22"/>
        </w:rPr>
        <w:t xml:space="preserve">ependent </w:t>
      </w:r>
      <w:r w:rsidR="006A6A1C">
        <w:rPr>
          <w:kern w:val="24"/>
          <w:szCs w:val="22"/>
        </w:rPr>
        <w:t>S</w:t>
      </w:r>
      <w:r w:rsidRPr="006A6A1C">
        <w:rPr>
          <w:kern w:val="24"/>
          <w:szCs w:val="22"/>
        </w:rPr>
        <w:t xml:space="preserve">urveillance – </w:t>
      </w:r>
      <w:r w:rsidR="006A6A1C">
        <w:rPr>
          <w:kern w:val="24"/>
          <w:szCs w:val="22"/>
        </w:rPr>
        <w:t>C</w:t>
      </w:r>
      <w:r w:rsidRPr="006A6A1C">
        <w:rPr>
          <w:kern w:val="24"/>
          <w:szCs w:val="22"/>
        </w:rPr>
        <w:t xml:space="preserve">ontract (ADS-C)) </w:t>
      </w:r>
      <w:r w:rsidRPr="006A6A1C">
        <w:rPr>
          <w:szCs w:val="22"/>
        </w:rPr>
        <w:t xml:space="preserve">and </w:t>
      </w:r>
      <w:r w:rsidR="00680CAF" w:rsidRPr="006A6A1C">
        <w:rPr>
          <w:kern w:val="24"/>
          <w:szCs w:val="22"/>
        </w:rPr>
        <w:t xml:space="preserve">Aeronautical Telecommunication Network </w:t>
      </w:r>
      <w:r w:rsidR="00680CAF">
        <w:rPr>
          <w:kern w:val="24"/>
          <w:szCs w:val="22"/>
        </w:rPr>
        <w:t>(</w:t>
      </w:r>
      <w:proofErr w:type="spellStart"/>
      <w:r w:rsidRPr="006A6A1C">
        <w:rPr>
          <w:szCs w:val="22"/>
        </w:rPr>
        <w:t>ATN</w:t>
      </w:r>
      <w:proofErr w:type="spellEnd"/>
      <w:r w:rsidR="00680CAF">
        <w:rPr>
          <w:szCs w:val="22"/>
        </w:rPr>
        <w:t>)</w:t>
      </w:r>
      <w:r w:rsidRPr="006A6A1C">
        <w:rPr>
          <w:szCs w:val="22"/>
        </w:rPr>
        <w:t xml:space="preserve"> ground-ground applications (</w:t>
      </w:r>
      <w:r w:rsidR="00680CAF" w:rsidRPr="00680CAF">
        <w:rPr>
          <w:szCs w:val="22"/>
        </w:rPr>
        <w:t xml:space="preserve">Air traffic services </w:t>
      </w:r>
      <w:r w:rsidR="00680CAF">
        <w:rPr>
          <w:szCs w:val="22"/>
        </w:rPr>
        <w:t>I</w:t>
      </w:r>
      <w:r w:rsidR="00680CAF" w:rsidRPr="00680CAF">
        <w:rPr>
          <w:szCs w:val="22"/>
        </w:rPr>
        <w:t xml:space="preserve">nter-facility </w:t>
      </w:r>
      <w:r w:rsidR="00680CAF">
        <w:rPr>
          <w:szCs w:val="22"/>
        </w:rPr>
        <w:t>Data C</w:t>
      </w:r>
      <w:r w:rsidR="00680CAF" w:rsidRPr="00680CAF">
        <w:rPr>
          <w:szCs w:val="22"/>
        </w:rPr>
        <w:t xml:space="preserve">ommunication </w:t>
      </w:r>
      <w:r w:rsidR="00680CAF">
        <w:rPr>
          <w:szCs w:val="22"/>
        </w:rPr>
        <w:t>(</w:t>
      </w:r>
      <w:proofErr w:type="spellStart"/>
      <w:r w:rsidRPr="006A6A1C">
        <w:rPr>
          <w:szCs w:val="22"/>
        </w:rPr>
        <w:t>AIDC</w:t>
      </w:r>
      <w:proofErr w:type="spellEnd"/>
      <w:r w:rsidR="00680CAF">
        <w:rPr>
          <w:szCs w:val="22"/>
        </w:rPr>
        <w:t>)</w:t>
      </w:r>
      <w:r w:rsidRPr="006A6A1C">
        <w:rPr>
          <w:szCs w:val="22"/>
        </w:rPr>
        <w:t xml:space="preserve"> and </w:t>
      </w:r>
      <w:r w:rsidR="00680CAF" w:rsidRPr="00680CAF">
        <w:rPr>
          <w:szCs w:val="22"/>
        </w:rPr>
        <w:t xml:space="preserve">Aeronautical </w:t>
      </w:r>
      <w:r w:rsidR="00680CAF">
        <w:rPr>
          <w:szCs w:val="22"/>
        </w:rPr>
        <w:t>M</w:t>
      </w:r>
      <w:r w:rsidR="00680CAF" w:rsidRPr="00680CAF">
        <w:rPr>
          <w:szCs w:val="22"/>
        </w:rPr>
        <w:t xml:space="preserve">essage </w:t>
      </w:r>
      <w:r w:rsidR="00680CAF">
        <w:rPr>
          <w:szCs w:val="22"/>
        </w:rPr>
        <w:t>H</w:t>
      </w:r>
      <w:r w:rsidR="00680CAF" w:rsidRPr="00680CAF">
        <w:rPr>
          <w:szCs w:val="22"/>
        </w:rPr>
        <w:t xml:space="preserve">andling </w:t>
      </w:r>
      <w:r w:rsidR="00680CAF">
        <w:rPr>
          <w:szCs w:val="22"/>
        </w:rPr>
        <w:t>S</w:t>
      </w:r>
      <w:r w:rsidR="00680CAF" w:rsidRPr="00680CAF">
        <w:rPr>
          <w:szCs w:val="22"/>
        </w:rPr>
        <w:t xml:space="preserve">ystem </w:t>
      </w:r>
      <w:r w:rsidR="00680CAF">
        <w:rPr>
          <w:szCs w:val="22"/>
        </w:rPr>
        <w:t>(</w:t>
      </w:r>
      <w:proofErr w:type="spellStart"/>
      <w:r w:rsidRPr="006A6A1C">
        <w:rPr>
          <w:szCs w:val="22"/>
        </w:rPr>
        <w:t>AMHS</w:t>
      </w:r>
      <w:proofErr w:type="spellEnd"/>
      <w:r w:rsidR="00680CAF">
        <w:rPr>
          <w:szCs w:val="22"/>
        </w:rPr>
        <w:t>)</w:t>
      </w:r>
      <w:r w:rsidRPr="006A6A1C">
        <w:rPr>
          <w:szCs w:val="22"/>
        </w:rPr>
        <w:t>)</w:t>
      </w:r>
      <w:r w:rsidRPr="006A6A1C">
        <w:rPr>
          <w:kern w:val="24"/>
          <w:szCs w:val="22"/>
        </w:rPr>
        <w:t xml:space="preserve">. Such a workshop is now being organized. 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1.2</w:t>
      </w:r>
      <w:r w:rsidRPr="006A6A1C">
        <w:rPr>
          <w:kern w:val="24"/>
          <w:szCs w:val="22"/>
        </w:rPr>
        <w:tab/>
        <w:t>The purpose of this survey is to identify the needs and expectations of Air Navigation Service Providers (</w:t>
      </w:r>
      <w:proofErr w:type="spellStart"/>
      <w:r w:rsidRPr="006A6A1C">
        <w:rPr>
          <w:kern w:val="24"/>
          <w:szCs w:val="22"/>
        </w:rPr>
        <w:t>ANSPs</w:t>
      </w:r>
      <w:proofErr w:type="spellEnd"/>
      <w:r w:rsidRPr="006A6A1C">
        <w:rPr>
          <w:kern w:val="24"/>
          <w:szCs w:val="22"/>
        </w:rPr>
        <w:t>)/Director</w:t>
      </w:r>
      <w:r w:rsidR="00524D5C">
        <w:rPr>
          <w:kern w:val="24"/>
          <w:szCs w:val="22"/>
        </w:rPr>
        <w:t>ates</w:t>
      </w:r>
      <w:r w:rsidRPr="006A6A1C">
        <w:rPr>
          <w:kern w:val="24"/>
          <w:szCs w:val="22"/>
        </w:rPr>
        <w:t xml:space="preserve"> General of Civil Aviation (DGCAs) regarding information/instruction that would be beneficial in establishing and/or enhancing </w:t>
      </w:r>
      <w:r w:rsidR="00D90FAC">
        <w:rPr>
          <w:kern w:val="24"/>
          <w:szCs w:val="22"/>
        </w:rPr>
        <w:t>data link</w:t>
      </w:r>
      <w:r w:rsidRPr="006A6A1C">
        <w:rPr>
          <w:kern w:val="24"/>
          <w:szCs w:val="22"/>
        </w:rPr>
        <w:t xml:space="preserve"> (</w:t>
      </w:r>
      <w:proofErr w:type="spellStart"/>
      <w:r w:rsidRPr="006A6A1C">
        <w:rPr>
          <w:kern w:val="24"/>
          <w:szCs w:val="22"/>
        </w:rPr>
        <w:t>CPDLC</w:t>
      </w:r>
      <w:proofErr w:type="spellEnd"/>
      <w:r w:rsidRPr="006A6A1C">
        <w:rPr>
          <w:kern w:val="24"/>
          <w:szCs w:val="22"/>
        </w:rPr>
        <w:t>/ADS</w:t>
      </w:r>
      <w:r w:rsidRPr="006A6A1C">
        <w:rPr>
          <w:kern w:val="24"/>
          <w:szCs w:val="22"/>
        </w:rPr>
        <w:noBreakHyphen/>
        <w:t xml:space="preserve">C) and </w:t>
      </w:r>
      <w:proofErr w:type="spellStart"/>
      <w:r w:rsidRPr="006A6A1C">
        <w:rPr>
          <w:szCs w:val="22"/>
        </w:rPr>
        <w:t>ATN</w:t>
      </w:r>
      <w:proofErr w:type="spellEnd"/>
      <w:r w:rsidRPr="006A6A1C">
        <w:rPr>
          <w:szCs w:val="22"/>
        </w:rPr>
        <w:t xml:space="preserve"> ground-ground applications (</w:t>
      </w:r>
      <w:proofErr w:type="spellStart"/>
      <w:r w:rsidRPr="006A6A1C">
        <w:rPr>
          <w:szCs w:val="22"/>
        </w:rPr>
        <w:t>AIDC</w:t>
      </w:r>
      <w:proofErr w:type="spellEnd"/>
      <w:r w:rsidRPr="006A6A1C">
        <w:rPr>
          <w:szCs w:val="22"/>
        </w:rPr>
        <w:t xml:space="preserve"> and </w:t>
      </w:r>
      <w:proofErr w:type="spellStart"/>
      <w:r w:rsidRPr="006A6A1C">
        <w:rPr>
          <w:szCs w:val="22"/>
        </w:rPr>
        <w:t>AMHS</w:t>
      </w:r>
      <w:proofErr w:type="spellEnd"/>
      <w:r w:rsidRPr="006A6A1C">
        <w:rPr>
          <w:szCs w:val="22"/>
        </w:rPr>
        <w:t>)</w:t>
      </w:r>
      <w:r w:rsidRPr="006A6A1C">
        <w:rPr>
          <w:kern w:val="24"/>
          <w:szCs w:val="22"/>
        </w:rPr>
        <w:t xml:space="preserve"> operational capabilities. Replies to this survey are intended to be used to design the program</w:t>
      </w:r>
      <w:r w:rsidR="00524D5C">
        <w:rPr>
          <w:kern w:val="24"/>
          <w:szCs w:val="22"/>
        </w:rPr>
        <w:t>me</w:t>
      </w:r>
      <w:r w:rsidRPr="006A6A1C">
        <w:rPr>
          <w:kern w:val="24"/>
          <w:szCs w:val="22"/>
        </w:rPr>
        <w:t xml:space="preserve"> of the NAM/CAR/SAM </w:t>
      </w:r>
      <w:r w:rsidR="006A6EFB" w:rsidRPr="006A6A1C">
        <w:rPr>
          <w:kern w:val="24"/>
          <w:szCs w:val="22"/>
        </w:rPr>
        <w:t xml:space="preserve">ATS </w:t>
      </w:r>
      <w:r w:rsidR="00D90FAC">
        <w:rPr>
          <w:kern w:val="24"/>
          <w:szCs w:val="22"/>
        </w:rPr>
        <w:t>Data Link</w:t>
      </w:r>
      <w:r w:rsidRPr="006A6A1C">
        <w:rPr>
          <w:kern w:val="24"/>
          <w:szCs w:val="22"/>
        </w:rPr>
        <w:t xml:space="preserve"> </w:t>
      </w:r>
      <w:r w:rsidR="00D90FAC">
        <w:rPr>
          <w:kern w:val="24"/>
          <w:szCs w:val="22"/>
        </w:rPr>
        <w:t>I</w:t>
      </w:r>
      <w:r w:rsidR="006A6EFB" w:rsidRPr="006A6A1C">
        <w:rPr>
          <w:kern w:val="24"/>
          <w:szCs w:val="22"/>
        </w:rPr>
        <w:t>mplementation</w:t>
      </w:r>
      <w:r w:rsidRPr="006A6A1C">
        <w:rPr>
          <w:kern w:val="24"/>
          <w:szCs w:val="22"/>
        </w:rPr>
        <w:t xml:space="preserve"> Workshop to be held in Philipsburg, </w:t>
      </w:r>
      <w:proofErr w:type="spellStart"/>
      <w:r w:rsidRPr="006A6A1C">
        <w:rPr>
          <w:kern w:val="24"/>
          <w:szCs w:val="22"/>
        </w:rPr>
        <w:t>Sint</w:t>
      </w:r>
      <w:proofErr w:type="spellEnd"/>
      <w:r w:rsidRPr="006A6A1C">
        <w:rPr>
          <w:kern w:val="24"/>
          <w:szCs w:val="22"/>
        </w:rPr>
        <w:t xml:space="preserve"> Maarten, from</w:t>
      </w:r>
      <w:r w:rsidR="006A6A1C">
        <w:rPr>
          <w:kern w:val="24"/>
          <w:szCs w:val="22"/>
        </w:rPr>
        <w:t xml:space="preserve"> 18 to </w:t>
      </w:r>
      <w:r w:rsidRPr="006A6A1C">
        <w:rPr>
          <w:kern w:val="24"/>
          <w:szCs w:val="22"/>
        </w:rPr>
        <w:t>21 April 2016.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1.3</w:t>
      </w:r>
      <w:r w:rsidRPr="006A6A1C">
        <w:rPr>
          <w:kern w:val="24"/>
          <w:szCs w:val="22"/>
        </w:rPr>
        <w:tab/>
      </w:r>
      <w:proofErr w:type="spellStart"/>
      <w:r w:rsidRPr="006A6A1C">
        <w:rPr>
          <w:kern w:val="24"/>
          <w:szCs w:val="22"/>
        </w:rPr>
        <w:t>DGCAs</w:t>
      </w:r>
      <w:proofErr w:type="spellEnd"/>
      <w:r w:rsidRPr="006A6A1C">
        <w:rPr>
          <w:kern w:val="24"/>
          <w:szCs w:val="22"/>
        </w:rPr>
        <w:t xml:space="preserve"> are encouraged to respond to all questions and complete the survey in consultation with relevant ANSPs. 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b/>
          <w:bCs/>
          <w:kern w:val="24"/>
          <w:szCs w:val="22"/>
        </w:rPr>
        <w:t>2. GENERAL INFORMATION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proofErr w:type="gramStart"/>
      <w:r w:rsidRPr="006A6A1C">
        <w:rPr>
          <w:kern w:val="24"/>
          <w:szCs w:val="22"/>
        </w:rPr>
        <w:t>a</w:t>
      </w:r>
      <w:proofErr w:type="gramEnd"/>
      <w:r w:rsidRPr="006A6A1C">
        <w:rPr>
          <w:kern w:val="24"/>
          <w:szCs w:val="22"/>
        </w:rPr>
        <w:t>.</w:t>
      </w:r>
      <w:r w:rsidRPr="006A6A1C">
        <w:rPr>
          <w:kern w:val="24"/>
          <w:szCs w:val="22"/>
        </w:rPr>
        <w:tab/>
        <w:t>ICAO Member State: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 w:rsidR="006A6A1C"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b.</w:t>
      </w:r>
      <w:r w:rsidRPr="006A6A1C">
        <w:rPr>
          <w:kern w:val="24"/>
          <w:szCs w:val="22"/>
        </w:rPr>
        <w:tab/>
        <w:t>Organization (ANSP):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c.</w:t>
      </w:r>
      <w:r w:rsidRPr="006A6A1C">
        <w:rPr>
          <w:kern w:val="24"/>
          <w:szCs w:val="22"/>
        </w:rPr>
        <w:tab/>
        <w:t>Organization (Regulatory body):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d.</w:t>
      </w:r>
      <w:r w:rsidRPr="006A6A1C">
        <w:rPr>
          <w:kern w:val="24"/>
          <w:szCs w:val="22"/>
        </w:rPr>
        <w:tab/>
        <w:t xml:space="preserve">Name of </w:t>
      </w:r>
      <w:r w:rsidR="00524D5C">
        <w:rPr>
          <w:kern w:val="24"/>
          <w:szCs w:val="22"/>
        </w:rPr>
        <w:t>Flight Information Region (</w:t>
      </w:r>
      <w:r w:rsidRPr="006A6A1C">
        <w:rPr>
          <w:kern w:val="24"/>
          <w:szCs w:val="22"/>
        </w:rPr>
        <w:t>FIR(s)</w:t>
      </w:r>
      <w:r w:rsidR="00524D5C">
        <w:rPr>
          <w:kern w:val="24"/>
          <w:szCs w:val="22"/>
        </w:rPr>
        <w:t>)</w:t>
      </w:r>
      <w:r w:rsidRPr="006A6A1C">
        <w:rPr>
          <w:kern w:val="24"/>
          <w:szCs w:val="22"/>
        </w:rPr>
        <w:t>: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e.</w:t>
      </w:r>
      <w:r w:rsidRPr="006A6A1C">
        <w:rPr>
          <w:kern w:val="24"/>
          <w:szCs w:val="22"/>
        </w:rPr>
        <w:tab/>
        <w:t>Any other pertinent information, i.e. future plans, major FIR changes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  <w:u w:val="single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f.</w:t>
      </w:r>
      <w:r w:rsidRPr="006A6A1C">
        <w:rPr>
          <w:kern w:val="24"/>
          <w:szCs w:val="22"/>
        </w:rPr>
        <w:tab/>
        <w:t>Contact person for further coordination with respect to the replies to this survey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BD160F" w:rsidRPr="006A6A1C" w:rsidTr="002F7B53">
        <w:trPr>
          <w:trHeight w:val="254"/>
        </w:trPr>
        <w:tc>
          <w:tcPr>
            <w:tcW w:w="2410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  <w:r w:rsidRPr="006A6A1C">
              <w:rPr>
                <w:kern w:val="24"/>
                <w:sz w:val="22"/>
                <w:szCs w:val="22"/>
              </w:rPr>
              <w:t>Name</w:t>
            </w:r>
          </w:p>
        </w:tc>
        <w:tc>
          <w:tcPr>
            <w:tcW w:w="5812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2F7B53">
        <w:trPr>
          <w:trHeight w:val="272"/>
        </w:trPr>
        <w:tc>
          <w:tcPr>
            <w:tcW w:w="2410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  <w:r w:rsidRPr="006A6A1C">
              <w:rPr>
                <w:kern w:val="24"/>
                <w:sz w:val="22"/>
                <w:szCs w:val="22"/>
              </w:rPr>
              <w:t>Job Title /Department</w:t>
            </w:r>
          </w:p>
        </w:tc>
        <w:tc>
          <w:tcPr>
            <w:tcW w:w="5812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2F7B53">
        <w:trPr>
          <w:trHeight w:val="166"/>
        </w:trPr>
        <w:tc>
          <w:tcPr>
            <w:tcW w:w="2410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  <w:r w:rsidRPr="006A6A1C">
              <w:rPr>
                <w:kern w:val="24"/>
                <w:sz w:val="22"/>
                <w:szCs w:val="22"/>
              </w:rPr>
              <w:t>Organization</w:t>
            </w:r>
          </w:p>
        </w:tc>
        <w:tc>
          <w:tcPr>
            <w:tcW w:w="5812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2F7B53">
        <w:trPr>
          <w:trHeight w:val="248"/>
        </w:trPr>
        <w:tc>
          <w:tcPr>
            <w:tcW w:w="2410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  <w:r w:rsidRPr="006A6A1C">
              <w:rPr>
                <w:kern w:val="24"/>
                <w:sz w:val="22"/>
                <w:szCs w:val="22"/>
              </w:rPr>
              <w:t>Email</w:t>
            </w:r>
          </w:p>
        </w:tc>
        <w:tc>
          <w:tcPr>
            <w:tcW w:w="5812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2F7B53">
        <w:trPr>
          <w:trHeight w:val="254"/>
        </w:trPr>
        <w:tc>
          <w:tcPr>
            <w:tcW w:w="2410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  <w:r w:rsidRPr="006A6A1C">
              <w:rPr>
                <w:kern w:val="24"/>
                <w:sz w:val="22"/>
                <w:szCs w:val="22"/>
              </w:rPr>
              <w:t>Phone number</w:t>
            </w:r>
          </w:p>
        </w:tc>
        <w:tc>
          <w:tcPr>
            <w:tcW w:w="5812" w:type="dxa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b/>
          <w:bCs/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b/>
          <w:bCs/>
          <w:kern w:val="24"/>
          <w:szCs w:val="22"/>
        </w:rPr>
      </w:pPr>
      <w:r w:rsidRPr="006A6A1C">
        <w:rPr>
          <w:b/>
          <w:bCs/>
          <w:kern w:val="24"/>
          <w:szCs w:val="22"/>
        </w:rPr>
        <w:lastRenderedPageBreak/>
        <w:t xml:space="preserve">3. </w:t>
      </w:r>
      <w:r w:rsidR="00680CAF" w:rsidRPr="006A6A1C">
        <w:rPr>
          <w:b/>
          <w:bCs/>
          <w:kern w:val="24"/>
          <w:szCs w:val="22"/>
        </w:rPr>
        <w:t xml:space="preserve">CURRENT AND FUTURE </w:t>
      </w:r>
      <w:r w:rsidR="006B41A5">
        <w:rPr>
          <w:b/>
          <w:bCs/>
          <w:kern w:val="24"/>
          <w:szCs w:val="22"/>
        </w:rPr>
        <w:t xml:space="preserve">ATS </w:t>
      </w:r>
      <w:r w:rsidR="00680CAF" w:rsidRPr="006A6A1C">
        <w:rPr>
          <w:b/>
          <w:bCs/>
          <w:kern w:val="24"/>
          <w:szCs w:val="22"/>
        </w:rPr>
        <w:t xml:space="preserve">DATA LINK </w:t>
      </w:r>
      <w:r w:rsidR="00385FCC">
        <w:rPr>
          <w:b/>
          <w:bCs/>
          <w:kern w:val="24"/>
          <w:szCs w:val="22"/>
        </w:rPr>
        <w:t>CAPABILITIES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“Data link” is a generic term that encompasses different types of data link systems and sub-networks. The following questions refer to the current and future state of your ANSP’s data link service capability</w:t>
      </w:r>
      <w:r w:rsidR="000E37DE">
        <w:rPr>
          <w:kern w:val="24"/>
          <w:szCs w:val="22"/>
        </w:rPr>
        <w:t>,</w:t>
      </w:r>
      <w:r w:rsidRPr="006A6A1C">
        <w:rPr>
          <w:kern w:val="24"/>
          <w:szCs w:val="22"/>
        </w:rPr>
        <w:t xml:space="preserve"> as well as how </w:t>
      </w:r>
      <w:r w:rsidR="00D90FAC">
        <w:rPr>
          <w:kern w:val="24"/>
          <w:szCs w:val="22"/>
        </w:rPr>
        <w:t>the ATS Data Link Implementation Workshop</w:t>
      </w:r>
      <w:r w:rsidRPr="006A6A1C">
        <w:rPr>
          <w:kern w:val="24"/>
          <w:szCs w:val="22"/>
        </w:rPr>
        <w:t xml:space="preserve"> is expected to benefit your ANSP. 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3.1</w:t>
      </w:r>
      <w:r w:rsidRPr="006A6A1C">
        <w:rPr>
          <w:kern w:val="24"/>
          <w:szCs w:val="22"/>
        </w:rPr>
        <w:tab/>
        <w:t xml:space="preserve">Has your </w:t>
      </w:r>
      <w:proofErr w:type="spellStart"/>
      <w:r w:rsidRPr="006A6A1C">
        <w:rPr>
          <w:kern w:val="24"/>
          <w:szCs w:val="22"/>
        </w:rPr>
        <w:t>ANSP</w:t>
      </w:r>
      <w:proofErr w:type="spellEnd"/>
      <w:r w:rsidRPr="006A6A1C">
        <w:rPr>
          <w:kern w:val="24"/>
          <w:szCs w:val="22"/>
        </w:rPr>
        <w:t xml:space="preserve"> implemented </w:t>
      </w:r>
      <w:r w:rsidR="00D90FAC">
        <w:rPr>
          <w:kern w:val="24"/>
          <w:szCs w:val="22"/>
        </w:rPr>
        <w:t>d</w:t>
      </w:r>
      <w:r w:rsidRPr="006A6A1C">
        <w:rPr>
          <w:kern w:val="24"/>
          <w:szCs w:val="22"/>
        </w:rPr>
        <w:t xml:space="preserve">ata </w:t>
      </w:r>
      <w:r w:rsidR="00D90FAC">
        <w:rPr>
          <w:kern w:val="24"/>
          <w:szCs w:val="22"/>
        </w:rPr>
        <w:t>l</w:t>
      </w:r>
      <w:r w:rsidRPr="006A6A1C">
        <w:rPr>
          <w:kern w:val="24"/>
          <w:szCs w:val="22"/>
        </w:rPr>
        <w:t>ink</w:t>
      </w:r>
      <w:r w:rsidR="00D90FAC">
        <w:rPr>
          <w:kern w:val="24"/>
          <w:szCs w:val="22"/>
        </w:rPr>
        <w:t xml:space="preserve"> services/applications</w:t>
      </w:r>
      <w:r w:rsidRPr="006A6A1C">
        <w:rPr>
          <w:kern w:val="24"/>
          <w:szCs w:val="22"/>
        </w:rPr>
        <w:t xml:space="preserve">?  </w:t>
      </w: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Yes</w:t>
      </w:r>
      <w:r w:rsidRPr="006A6A1C">
        <w:rPr>
          <w:kern w:val="24"/>
          <w:szCs w:val="22"/>
        </w:rPr>
        <w:tab/>
      </w: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No</w:t>
      </w:r>
    </w:p>
    <w:p w:rsidR="00BD160F" w:rsidRPr="006A6A1C" w:rsidRDefault="00BD160F" w:rsidP="00BD160F">
      <w:pPr>
        <w:kinsoku w:val="0"/>
        <w:overflowPunct w:val="0"/>
        <w:ind w:left="720" w:right="-36"/>
        <w:rPr>
          <w:i/>
          <w:iCs/>
          <w:kern w:val="24"/>
          <w:szCs w:val="22"/>
        </w:rPr>
      </w:pPr>
      <w:r w:rsidRPr="006A6A1C">
        <w:rPr>
          <w:i/>
          <w:iCs/>
          <w:kern w:val="24"/>
          <w:szCs w:val="22"/>
        </w:rPr>
        <w:t>Note: If yes, please continue to answer the following questions. If the answer is “no”, please proceed to questions 3.6 and 3.7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3.2</w:t>
      </w:r>
      <w:r w:rsidRPr="006A6A1C">
        <w:rPr>
          <w:kern w:val="24"/>
          <w:szCs w:val="22"/>
        </w:rPr>
        <w:tab/>
        <w:t xml:space="preserve">Which data link </w:t>
      </w:r>
      <w:r w:rsidR="00D90FAC">
        <w:rPr>
          <w:kern w:val="24"/>
          <w:szCs w:val="22"/>
        </w:rPr>
        <w:t xml:space="preserve">services/applications </w:t>
      </w:r>
      <w:r w:rsidR="009A0225" w:rsidRPr="006A6A1C">
        <w:rPr>
          <w:szCs w:val="22"/>
        </w:rPr>
        <w:t>(</w:t>
      </w:r>
      <w:r w:rsidR="009A0225" w:rsidRPr="006A6A1C">
        <w:rPr>
          <w:kern w:val="24"/>
          <w:szCs w:val="22"/>
        </w:rPr>
        <w:t>have</w:t>
      </w:r>
      <w:r w:rsidRPr="006A6A1C">
        <w:rPr>
          <w:kern w:val="24"/>
          <w:szCs w:val="22"/>
        </w:rPr>
        <w:t xml:space="preserve"> your </w:t>
      </w:r>
      <w:proofErr w:type="spellStart"/>
      <w:r w:rsidRPr="006A6A1C">
        <w:rPr>
          <w:kern w:val="24"/>
          <w:szCs w:val="22"/>
        </w:rPr>
        <w:t>ANSP</w:t>
      </w:r>
      <w:proofErr w:type="spellEnd"/>
      <w:r w:rsidRPr="006A6A1C">
        <w:rPr>
          <w:kern w:val="24"/>
          <w:szCs w:val="22"/>
        </w:rPr>
        <w:t xml:space="preserve"> implemented (i.e. </w:t>
      </w:r>
      <w:proofErr w:type="spellStart"/>
      <w:r w:rsidRPr="006A6A1C">
        <w:rPr>
          <w:kern w:val="24"/>
          <w:szCs w:val="22"/>
        </w:rPr>
        <w:t>CPDLC</w:t>
      </w:r>
      <w:proofErr w:type="spellEnd"/>
      <w:r w:rsidRPr="006A6A1C">
        <w:rPr>
          <w:kern w:val="24"/>
          <w:szCs w:val="22"/>
        </w:rPr>
        <w:t xml:space="preserve">, ADS-C, DCL, </w:t>
      </w:r>
      <w:proofErr w:type="spellStart"/>
      <w:r w:rsidR="00D90FAC">
        <w:rPr>
          <w:szCs w:val="22"/>
        </w:rPr>
        <w:t>AIDC</w:t>
      </w:r>
      <w:proofErr w:type="spellEnd"/>
      <w:r w:rsidR="00D90FAC">
        <w:rPr>
          <w:szCs w:val="22"/>
        </w:rPr>
        <w:t xml:space="preserve">, </w:t>
      </w:r>
      <w:proofErr w:type="spellStart"/>
      <w:r w:rsidR="00D90FAC" w:rsidRPr="006A6A1C">
        <w:rPr>
          <w:szCs w:val="22"/>
        </w:rPr>
        <w:t>AMHS</w:t>
      </w:r>
      <w:proofErr w:type="spellEnd"/>
      <w:r w:rsidR="00D90FAC" w:rsidRPr="006A6A1C">
        <w:rPr>
          <w:szCs w:val="22"/>
        </w:rPr>
        <w:t>)</w:t>
      </w:r>
      <w:r w:rsidR="00D90FAC" w:rsidRPr="006A6A1C">
        <w:rPr>
          <w:kern w:val="24"/>
          <w:szCs w:val="22"/>
        </w:rPr>
        <w:t xml:space="preserve"> </w:t>
      </w:r>
      <w:r w:rsidRPr="006A6A1C">
        <w:rPr>
          <w:kern w:val="24"/>
          <w:szCs w:val="22"/>
        </w:rPr>
        <w:t>etc.)</w:t>
      </w:r>
      <w:r w:rsidR="00A93128">
        <w:rPr>
          <w:kern w:val="24"/>
          <w:szCs w:val="22"/>
        </w:rPr>
        <w:t>?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3.3</w:t>
      </w:r>
      <w:r w:rsidRPr="006A6A1C">
        <w:rPr>
          <w:kern w:val="24"/>
          <w:szCs w:val="22"/>
        </w:rPr>
        <w:tab/>
        <w:t xml:space="preserve">If you have implemented </w:t>
      </w:r>
      <w:r w:rsidR="00D90FAC" w:rsidRPr="006A6A1C">
        <w:rPr>
          <w:kern w:val="24"/>
          <w:szCs w:val="22"/>
        </w:rPr>
        <w:t xml:space="preserve">data link </w:t>
      </w:r>
      <w:r w:rsidR="00D90FAC">
        <w:rPr>
          <w:kern w:val="24"/>
          <w:szCs w:val="22"/>
        </w:rPr>
        <w:t>services/applications</w:t>
      </w:r>
      <w:r w:rsidRPr="006A6A1C">
        <w:rPr>
          <w:kern w:val="24"/>
          <w:szCs w:val="22"/>
        </w:rPr>
        <w:t xml:space="preserve">, when did you purchase that equipment and what type and model </w:t>
      </w:r>
      <w:r w:rsidR="00680CAF">
        <w:rPr>
          <w:kern w:val="24"/>
          <w:szCs w:val="22"/>
        </w:rPr>
        <w:t>number</w:t>
      </w:r>
      <w:r w:rsidRPr="006A6A1C">
        <w:rPr>
          <w:kern w:val="24"/>
          <w:szCs w:val="22"/>
        </w:rPr>
        <w:t xml:space="preserve"> do you have?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3.4</w:t>
      </w:r>
      <w:r w:rsidRPr="006A6A1C">
        <w:rPr>
          <w:kern w:val="24"/>
          <w:szCs w:val="22"/>
        </w:rPr>
        <w:tab/>
        <w:t xml:space="preserve">Who are your neighbouring FIRs and do you have </w:t>
      </w:r>
      <w:proofErr w:type="spellStart"/>
      <w:r w:rsidRPr="006A6A1C">
        <w:rPr>
          <w:kern w:val="24"/>
          <w:szCs w:val="22"/>
        </w:rPr>
        <w:t>interfacility</w:t>
      </w:r>
      <w:proofErr w:type="spellEnd"/>
      <w:r w:rsidRPr="006A6A1C">
        <w:rPr>
          <w:kern w:val="24"/>
          <w:szCs w:val="22"/>
        </w:rPr>
        <w:t xml:space="preserve"> agreements with them?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D90FA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proofErr w:type="gramStart"/>
      <w:r w:rsidRPr="006A6A1C">
        <w:rPr>
          <w:kern w:val="24"/>
          <w:szCs w:val="22"/>
        </w:rPr>
        <w:t>3.6</w:t>
      </w:r>
      <w:r w:rsidRPr="006A6A1C">
        <w:rPr>
          <w:kern w:val="24"/>
          <w:szCs w:val="22"/>
        </w:rPr>
        <w:tab/>
        <w:t>Does</w:t>
      </w:r>
      <w:proofErr w:type="gramEnd"/>
      <w:r w:rsidRPr="006A6A1C">
        <w:rPr>
          <w:kern w:val="24"/>
          <w:szCs w:val="22"/>
        </w:rPr>
        <w:t xml:space="preserve"> you ANSP have plans for implementation of </w:t>
      </w:r>
      <w:r w:rsidR="00D90FAC" w:rsidRPr="006A6A1C">
        <w:rPr>
          <w:kern w:val="24"/>
          <w:szCs w:val="22"/>
        </w:rPr>
        <w:t xml:space="preserve">data link </w:t>
      </w:r>
      <w:r w:rsidR="00D90FAC">
        <w:rPr>
          <w:kern w:val="24"/>
          <w:szCs w:val="22"/>
        </w:rPr>
        <w:t>services/applications</w:t>
      </w:r>
      <w:r w:rsidRPr="006A6A1C">
        <w:rPr>
          <w:kern w:val="24"/>
          <w:szCs w:val="22"/>
        </w:rPr>
        <w:t xml:space="preserve">? </w:t>
      </w:r>
    </w:p>
    <w:p w:rsidR="00BD160F" w:rsidRPr="006A6A1C" w:rsidRDefault="00BD160F" w:rsidP="00D90FAC">
      <w:pPr>
        <w:kinsoku w:val="0"/>
        <w:overflowPunct w:val="0"/>
        <w:ind w:right="-36" w:firstLine="708"/>
        <w:rPr>
          <w:kern w:val="24"/>
          <w:szCs w:val="22"/>
        </w:rPr>
      </w:pP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Yes</w:t>
      </w:r>
      <w:r w:rsidRPr="006A6A1C">
        <w:rPr>
          <w:kern w:val="24"/>
          <w:szCs w:val="22"/>
        </w:rPr>
        <w:tab/>
      </w: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No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3.7</w:t>
      </w:r>
      <w:r w:rsidRPr="006A6A1C">
        <w:rPr>
          <w:kern w:val="24"/>
          <w:szCs w:val="22"/>
        </w:rPr>
        <w:tab/>
        <w:t xml:space="preserve">If yes, list the data link applications that you plan to implement (e.g., </w:t>
      </w:r>
      <w:proofErr w:type="spellStart"/>
      <w:r w:rsidRPr="006A6A1C">
        <w:rPr>
          <w:kern w:val="24"/>
          <w:szCs w:val="22"/>
        </w:rPr>
        <w:t>CPDLC</w:t>
      </w:r>
      <w:proofErr w:type="spellEnd"/>
      <w:r w:rsidRPr="006A6A1C">
        <w:rPr>
          <w:kern w:val="24"/>
          <w:szCs w:val="22"/>
        </w:rPr>
        <w:t xml:space="preserve">, ADS-C, DCL, </w:t>
      </w:r>
      <w:proofErr w:type="spellStart"/>
      <w:r w:rsidR="00D90FAC" w:rsidRPr="00E44714">
        <w:rPr>
          <w:kern w:val="24"/>
          <w:szCs w:val="22"/>
        </w:rPr>
        <w:t>AIDC</w:t>
      </w:r>
      <w:proofErr w:type="spellEnd"/>
      <w:r w:rsidR="00D90FAC" w:rsidRPr="00E44714">
        <w:rPr>
          <w:kern w:val="24"/>
          <w:szCs w:val="22"/>
        </w:rPr>
        <w:t xml:space="preserve">, </w:t>
      </w:r>
      <w:proofErr w:type="spellStart"/>
      <w:r w:rsidR="00D90FAC" w:rsidRPr="00E44714">
        <w:rPr>
          <w:kern w:val="24"/>
          <w:szCs w:val="22"/>
        </w:rPr>
        <w:t>AMHS</w:t>
      </w:r>
      <w:proofErr w:type="spellEnd"/>
      <w:r w:rsidR="00D90FAC" w:rsidRPr="00E44714">
        <w:rPr>
          <w:kern w:val="24"/>
          <w:szCs w:val="22"/>
        </w:rPr>
        <w:t xml:space="preserve"> </w:t>
      </w:r>
      <w:r w:rsidRPr="006A6A1C">
        <w:rPr>
          <w:kern w:val="24"/>
          <w:szCs w:val="22"/>
        </w:rPr>
        <w:t>etc.) and target dates for implementation</w:t>
      </w:r>
      <w:r w:rsidR="00A93128">
        <w:rPr>
          <w:kern w:val="24"/>
          <w:szCs w:val="22"/>
        </w:rPr>
        <w:t>.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3.8</w:t>
      </w:r>
      <w:r w:rsidRPr="006A6A1C">
        <w:rPr>
          <w:kern w:val="24"/>
          <w:szCs w:val="22"/>
        </w:rPr>
        <w:tab/>
        <w:t>How would you best describe your ANSP’s interest in CPDLC/ADS</w:t>
      </w:r>
      <w:r w:rsidRPr="006A6A1C">
        <w:rPr>
          <w:kern w:val="24"/>
          <w:szCs w:val="22"/>
        </w:rPr>
        <w:noBreakHyphen/>
        <w:t>C to address the following areas?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5"/>
        <w:gridCol w:w="585"/>
        <w:gridCol w:w="586"/>
        <w:gridCol w:w="586"/>
        <w:gridCol w:w="586"/>
        <w:gridCol w:w="586"/>
      </w:tblGrid>
      <w:tr w:rsidR="00BD160F" w:rsidRPr="006A6A1C" w:rsidTr="00680CAF">
        <w:trPr>
          <w:trHeight w:hRule="exact" w:val="294"/>
        </w:trPr>
        <w:tc>
          <w:tcPr>
            <w:tcW w:w="6455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C12C8D" w:rsidP="002F7B53">
            <w:pPr>
              <w:kinsoku w:val="0"/>
              <w:overflowPunct w:val="0"/>
              <w:ind w:right="-36"/>
              <w:jc w:val="center"/>
              <w:rPr>
                <w:i/>
                <w:iCs/>
                <w:kern w:val="24"/>
                <w:szCs w:val="22"/>
              </w:rPr>
            </w:pP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Not at all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Very Much</w:t>
            </w:r>
          </w:p>
        </w:tc>
      </w:tr>
      <w:tr w:rsidR="00BD160F" w:rsidRPr="006A6A1C" w:rsidTr="002F7B53">
        <w:trPr>
          <w:trHeight w:hRule="exact" w:val="381"/>
        </w:trPr>
        <w:tc>
          <w:tcPr>
            <w:tcW w:w="64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2F7B53">
        <w:trPr>
          <w:trHeight w:hRule="exact" w:val="25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Support More Efficient Air Traffic Management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9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Increase Airspace Capacity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90370D">
        <w:trPr>
          <w:trHeight w:hRule="exact" w:val="57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Increase Safety and Utilize as a Mitigation Tool for Specific Areas of Concern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Improve Communications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90370D">
        <w:trPr>
          <w:trHeight w:hRule="exact" w:val="52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Improve Surveillance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90370D">
        <w:trPr>
          <w:trHeight w:hRule="exact" w:val="59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 xml:space="preserve">Utilize Route Conformance Monitoring </w:t>
            </w:r>
            <w:r w:rsidRPr="0090370D">
              <w:rPr>
                <w:kern w:val="24"/>
                <w:szCs w:val="22"/>
              </w:rPr>
              <w:t>(to Support Reduced</w:t>
            </w:r>
            <w:r w:rsidRPr="006A6A1C">
              <w:rPr>
                <w:kern w:val="24"/>
                <w:szCs w:val="22"/>
              </w:rPr>
              <w:t xml:space="preserve"> Separation Minima)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Improved Coordination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90370D" w:rsidRDefault="0090370D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3.9</w:t>
      </w:r>
      <w:r w:rsidRPr="006A6A1C">
        <w:rPr>
          <w:kern w:val="24"/>
          <w:szCs w:val="22"/>
        </w:rPr>
        <w:tab/>
        <w:t xml:space="preserve">Who do you think should be the target audience of </w:t>
      </w:r>
      <w:r w:rsidR="004E0DC4" w:rsidRPr="004E0DC4">
        <w:rPr>
          <w:kern w:val="24"/>
          <w:szCs w:val="22"/>
        </w:rPr>
        <w:t xml:space="preserve">NAM/CAR/SAM ATS </w:t>
      </w:r>
      <w:r w:rsidR="00D90FAC">
        <w:rPr>
          <w:kern w:val="24"/>
          <w:szCs w:val="22"/>
        </w:rPr>
        <w:t>Data link</w:t>
      </w:r>
      <w:r w:rsidR="004E0DC4" w:rsidRPr="004E0DC4">
        <w:rPr>
          <w:kern w:val="24"/>
          <w:szCs w:val="22"/>
        </w:rPr>
        <w:t xml:space="preserve"> Implementation Workshop</w:t>
      </w:r>
      <w:r w:rsidRPr="006A6A1C">
        <w:rPr>
          <w:kern w:val="24"/>
          <w:szCs w:val="22"/>
        </w:rPr>
        <w:t xml:space="preserve"> that would most benefit your </w:t>
      </w:r>
      <w:proofErr w:type="gramStart"/>
      <w:r w:rsidRPr="006A6A1C">
        <w:rPr>
          <w:kern w:val="24"/>
          <w:szCs w:val="22"/>
        </w:rPr>
        <w:t>ANSP ?</w:t>
      </w:r>
      <w:proofErr w:type="gramEnd"/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584"/>
        <w:gridCol w:w="585"/>
        <w:gridCol w:w="585"/>
        <w:gridCol w:w="585"/>
        <w:gridCol w:w="586"/>
      </w:tblGrid>
      <w:tr w:rsidR="00BD160F" w:rsidRPr="006A6A1C" w:rsidTr="002F7B53">
        <w:trPr>
          <w:trHeight w:hRule="exact" w:val="378"/>
        </w:trPr>
        <w:tc>
          <w:tcPr>
            <w:tcW w:w="6447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C12C8D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Not at all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Very Much</w:t>
            </w:r>
          </w:p>
        </w:tc>
      </w:tr>
      <w:tr w:rsidR="00BD160F" w:rsidRPr="006A6A1C" w:rsidTr="002F7B53">
        <w:trPr>
          <w:trHeight w:hRule="exact" w:val="378"/>
        </w:trPr>
        <w:tc>
          <w:tcPr>
            <w:tcW w:w="64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2F7B53">
        <w:trPr>
          <w:trHeight w:hRule="exact" w:val="25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Regulatory body of ANSP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9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ANSP Upper Management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32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680CAF" w:rsidP="00680CAF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>
              <w:rPr>
                <w:kern w:val="24"/>
                <w:szCs w:val="22"/>
              </w:rPr>
              <w:t>Air T</w:t>
            </w:r>
            <w:r w:rsidRPr="00680CAF">
              <w:rPr>
                <w:kern w:val="24"/>
                <w:szCs w:val="22"/>
              </w:rPr>
              <w:t xml:space="preserve">raffic </w:t>
            </w:r>
            <w:r>
              <w:rPr>
                <w:kern w:val="24"/>
                <w:szCs w:val="22"/>
              </w:rPr>
              <w:t>C</w:t>
            </w:r>
            <w:r w:rsidRPr="00680CAF">
              <w:rPr>
                <w:kern w:val="24"/>
                <w:szCs w:val="22"/>
              </w:rPr>
              <w:t xml:space="preserve">ontrol </w:t>
            </w:r>
            <w:r>
              <w:rPr>
                <w:kern w:val="24"/>
                <w:szCs w:val="22"/>
              </w:rPr>
              <w:t>(</w:t>
            </w:r>
            <w:r w:rsidR="00BD160F" w:rsidRPr="006A6A1C">
              <w:rPr>
                <w:kern w:val="24"/>
                <w:szCs w:val="22"/>
              </w:rPr>
              <w:t>ATC</w:t>
            </w:r>
            <w:r>
              <w:rPr>
                <w:kern w:val="24"/>
                <w:szCs w:val="22"/>
              </w:rPr>
              <w:t>)</w:t>
            </w:r>
            <w:r w:rsidR="00BD160F" w:rsidRPr="006A6A1C">
              <w:rPr>
                <w:kern w:val="24"/>
                <w:szCs w:val="22"/>
              </w:rPr>
              <w:t xml:space="preserve"> Management and ATC Supervision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2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Radio Operators’ Training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91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ATC Training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0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Automation Specialists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b/>
          <w:bCs/>
          <w:kern w:val="24"/>
          <w:szCs w:val="22"/>
        </w:rPr>
      </w:pPr>
      <w:r w:rsidRPr="006A6A1C">
        <w:rPr>
          <w:b/>
          <w:bCs/>
          <w:kern w:val="24"/>
          <w:szCs w:val="22"/>
        </w:rPr>
        <w:t xml:space="preserve">4. ICAO GLOBAL OPERATIONAL DATA LINK (GOLD) </w:t>
      </w:r>
      <w:proofErr w:type="gramStart"/>
      <w:r w:rsidRPr="006A6A1C">
        <w:rPr>
          <w:b/>
          <w:bCs/>
          <w:kern w:val="24"/>
          <w:szCs w:val="22"/>
        </w:rPr>
        <w:t>MANUAL(</w:t>
      </w:r>
      <w:proofErr w:type="gramEnd"/>
      <w:r w:rsidRPr="00C12C8D">
        <w:rPr>
          <w:b/>
          <w:bCs/>
          <w:i/>
          <w:kern w:val="24"/>
          <w:szCs w:val="22"/>
        </w:rPr>
        <w:t>Doc 10037</w:t>
      </w:r>
      <w:r w:rsidRPr="006A6A1C">
        <w:rPr>
          <w:b/>
          <w:bCs/>
          <w:kern w:val="24"/>
          <w:szCs w:val="22"/>
        </w:rPr>
        <w:t>)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The GOLD Manual (</w:t>
      </w:r>
      <w:r w:rsidRPr="00C12C8D">
        <w:rPr>
          <w:i/>
          <w:kern w:val="24"/>
          <w:szCs w:val="22"/>
        </w:rPr>
        <w:t>Doc 10037</w:t>
      </w:r>
      <w:r w:rsidRPr="006A6A1C">
        <w:rPr>
          <w:kern w:val="24"/>
          <w:szCs w:val="22"/>
        </w:rPr>
        <w:t>) provides guidance and information concerning CPDLC and ADS</w:t>
      </w:r>
      <w:r w:rsidRPr="006A6A1C">
        <w:rPr>
          <w:kern w:val="24"/>
          <w:szCs w:val="22"/>
        </w:rPr>
        <w:noBreakHyphen/>
        <w:t xml:space="preserve">C operations and is intended to facilitate the uniform application of Standards and Recommended Practices contained in </w:t>
      </w:r>
      <w:r w:rsidR="00C12C8D">
        <w:rPr>
          <w:kern w:val="24"/>
          <w:szCs w:val="22"/>
        </w:rPr>
        <w:t xml:space="preserve">ICAO </w:t>
      </w:r>
      <w:r w:rsidRPr="006A6A1C">
        <w:rPr>
          <w:kern w:val="24"/>
          <w:szCs w:val="22"/>
        </w:rPr>
        <w:t xml:space="preserve">Annex 2 – </w:t>
      </w:r>
      <w:r w:rsidRPr="00D90FAC">
        <w:rPr>
          <w:i/>
          <w:kern w:val="24"/>
          <w:szCs w:val="22"/>
        </w:rPr>
        <w:t>Rules of the Air</w:t>
      </w:r>
      <w:r w:rsidRPr="006A6A1C">
        <w:rPr>
          <w:kern w:val="24"/>
          <w:szCs w:val="22"/>
        </w:rPr>
        <w:t xml:space="preserve">, Annex 10 – </w:t>
      </w:r>
      <w:r w:rsidRPr="000E37DE">
        <w:rPr>
          <w:i/>
          <w:kern w:val="24"/>
          <w:szCs w:val="22"/>
        </w:rPr>
        <w:t>Aeronautical Communications</w:t>
      </w:r>
      <w:r w:rsidRPr="006A6A1C">
        <w:rPr>
          <w:kern w:val="24"/>
          <w:szCs w:val="22"/>
        </w:rPr>
        <w:t xml:space="preserve"> (Volumes II and III), and Annex 11 – </w:t>
      </w:r>
      <w:r w:rsidRPr="000E37DE">
        <w:rPr>
          <w:i/>
          <w:kern w:val="24"/>
          <w:szCs w:val="22"/>
        </w:rPr>
        <w:t>Air Traffic Services</w:t>
      </w:r>
      <w:r w:rsidRPr="006A6A1C">
        <w:rPr>
          <w:kern w:val="24"/>
          <w:szCs w:val="22"/>
        </w:rPr>
        <w:t xml:space="preserve">, as well as the provisions in the </w:t>
      </w:r>
      <w:r w:rsidRPr="00524D5C">
        <w:rPr>
          <w:i/>
          <w:kern w:val="24"/>
          <w:szCs w:val="22"/>
        </w:rPr>
        <w:t>Procedures for Air Navigation Services – Air Traffic Management</w:t>
      </w:r>
      <w:r w:rsidRPr="006A6A1C">
        <w:rPr>
          <w:kern w:val="24"/>
          <w:szCs w:val="22"/>
        </w:rPr>
        <w:t xml:space="preserve"> (PANS-ATM, </w:t>
      </w:r>
      <w:r w:rsidRPr="00524D5C">
        <w:rPr>
          <w:kern w:val="24"/>
          <w:szCs w:val="22"/>
        </w:rPr>
        <w:t>Doc 4444</w:t>
      </w:r>
      <w:r w:rsidRPr="006A6A1C">
        <w:rPr>
          <w:kern w:val="24"/>
          <w:szCs w:val="22"/>
        </w:rPr>
        <w:t xml:space="preserve">) and, when necessary, the </w:t>
      </w:r>
      <w:r w:rsidRPr="00524D5C">
        <w:rPr>
          <w:i/>
          <w:kern w:val="24"/>
          <w:szCs w:val="22"/>
        </w:rPr>
        <w:t>Regional Supplementary Procedures</w:t>
      </w:r>
      <w:r w:rsidRPr="006A6A1C">
        <w:rPr>
          <w:kern w:val="24"/>
          <w:szCs w:val="22"/>
        </w:rPr>
        <w:t xml:space="preserve"> (</w:t>
      </w:r>
      <w:r w:rsidRPr="00524D5C">
        <w:rPr>
          <w:kern w:val="24"/>
          <w:szCs w:val="22"/>
        </w:rPr>
        <w:t>Doc 7030</w:t>
      </w:r>
      <w:r w:rsidRPr="006A6A1C">
        <w:rPr>
          <w:kern w:val="24"/>
          <w:szCs w:val="22"/>
        </w:rPr>
        <w:t xml:space="preserve">). The GOLD Manual together with the </w:t>
      </w:r>
      <w:r w:rsidRPr="00524D5C">
        <w:rPr>
          <w:i/>
          <w:kern w:val="24"/>
          <w:szCs w:val="22"/>
        </w:rPr>
        <w:t>Performance-</w:t>
      </w:r>
      <w:r w:rsidR="00C12C8D" w:rsidRPr="00524D5C">
        <w:rPr>
          <w:i/>
          <w:kern w:val="24"/>
          <w:szCs w:val="22"/>
        </w:rPr>
        <w:t>B</w:t>
      </w:r>
      <w:r w:rsidRPr="00524D5C">
        <w:rPr>
          <w:i/>
          <w:kern w:val="24"/>
          <w:szCs w:val="22"/>
        </w:rPr>
        <w:t>ased Communication and Surveillance (PBCS) Manual</w:t>
      </w:r>
      <w:r w:rsidRPr="006A6A1C">
        <w:rPr>
          <w:kern w:val="24"/>
          <w:szCs w:val="22"/>
        </w:rPr>
        <w:t xml:space="preserve"> (</w:t>
      </w:r>
      <w:r w:rsidRPr="00524D5C">
        <w:rPr>
          <w:kern w:val="24"/>
          <w:szCs w:val="22"/>
        </w:rPr>
        <w:t>Doc 9869</w:t>
      </w:r>
      <w:r w:rsidRPr="006A6A1C">
        <w:rPr>
          <w:kern w:val="24"/>
          <w:szCs w:val="22"/>
        </w:rPr>
        <w:t>) will supersede the regional Global Operational Data Link Document.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4.1</w:t>
      </w:r>
      <w:r w:rsidRPr="006A6A1C">
        <w:rPr>
          <w:kern w:val="24"/>
          <w:szCs w:val="22"/>
        </w:rPr>
        <w:tab/>
        <w:t xml:space="preserve">Does your </w:t>
      </w:r>
      <w:proofErr w:type="spellStart"/>
      <w:r w:rsidRPr="006A6A1C">
        <w:rPr>
          <w:kern w:val="24"/>
          <w:szCs w:val="22"/>
        </w:rPr>
        <w:t>ANSP</w:t>
      </w:r>
      <w:proofErr w:type="spellEnd"/>
      <w:r w:rsidRPr="006A6A1C">
        <w:rPr>
          <w:kern w:val="24"/>
          <w:szCs w:val="22"/>
        </w:rPr>
        <w:t xml:space="preserve"> currently utilize the regional </w:t>
      </w:r>
      <w:proofErr w:type="gramStart"/>
      <w:r w:rsidRPr="006A6A1C">
        <w:rPr>
          <w:kern w:val="24"/>
          <w:szCs w:val="22"/>
        </w:rPr>
        <w:t>GOLD ?</w:t>
      </w:r>
      <w:proofErr w:type="gramEnd"/>
      <w:r w:rsidRPr="006A6A1C">
        <w:rPr>
          <w:kern w:val="24"/>
          <w:szCs w:val="22"/>
        </w:rPr>
        <w:t xml:space="preserve"> </w:t>
      </w: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Yes</w:t>
      </w:r>
      <w:r w:rsidRPr="006A6A1C">
        <w:rPr>
          <w:kern w:val="24"/>
          <w:szCs w:val="22"/>
        </w:rPr>
        <w:tab/>
      </w:r>
      <w:r w:rsidRPr="006A6A1C">
        <w:rPr>
          <w:rFonts w:ascii="MS Mincho" w:eastAsia="MS Mincho" w:hAnsi="MS Mincho" w:cs="MS Mincho" w:hint="eastAsia"/>
          <w:kern w:val="24"/>
          <w:szCs w:val="22"/>
        </w:rPr>
        <w:t>☐</w:t>
      </w:r>
      <w:r w:rsidRPr="006A6A1C">
        <w:rPr>
          <w:kern w:val="24"/>
          <w:szCs w:val="22"/>
        </w:rPr>
        <w:t>No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4.2</w:t>
      </w:r>
      <w:r w:rsidRPr="006A6A1C">
        <w:rPr>
          <w:kern w:val="24"/>
          <w:szCs w:val="22"/>
        </w:rPr>
        <w:tab/>
        <w:t>What aspects of CPDLC/ADS-C would benefit your ANSP’s current system or future implementation? (Please refer to the GOLD Chapter 2 for further information).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186"/>
        <w:gridCol w:w="549"/>
        <w:gridCol w:w="550"/>
        <w:gridCol w:w="550"/>
        <w:gridCol w:w="550"/>
        <w:gridCol w:w="550"/>
      </w:tblGrid>
      <w:tr w:rsidR="00BD160F" w:rsidRPr="006A6A1C" w:rsidTr="009A797C">
        <w:trPr>
          <w:trHeight w:hRule="exact" w:val="258"/>
        </w:trPr>
        <w:tc>
          <w:tcPr>
            <w:tcW w:w="660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C12C8D" w:rsidRDefault="00C12C8D" w:rsidP="00C12C8D">
            <w:pPr>
              <w:kinsoku w:val="0"/>
              <w:overflowPunct w:val="0"/>
              <w:ind w:right="-36"/>
              <w:jc w:val="center"/>
              <w:rPr>
                <w:kern w:val="24"/>
                <w:sz w:val="18"/>
                <w:szCs w:val="18"/>
              </w:rPr>
            </w:pP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Not at all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</w:t>
            </w:r>
            <w:r w:rsidR="00BD160F" w:rsidRPr="00C12C8D">
              <w:rPr>
                <w:i/>
                <w:iCs/>
                <w:kern w:val="24"/>
                <w:sz w:val="18"/>
                <w:szCs w:val="18"/>
              </w:rPr>
              <w:t>Very Much</w:t>
            </w:r>
          </w:p>
        </w:tc>
      </w:tr>
      <w:tr w:rsidR="00BD160F" w:rsidRPr="006A6A1C" w:rsidTr="009A797C">
        <w:trPr>
          <w:trHeight w:hRule="exact" w:val="267"/>
        </w:trPr>
        <w:tc>
          <w:tcPr>
            <w:tcW w:w="660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2F7B53">
        <w:trPr>
          <w:trHeight w:hRule="exact" w:val="253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CPDLC/ADS</w:t>
            </w:r>
            <w:r w:rsidRPr="006A6A1C">
              <w:rPr>
                <w:kern w:val="24"/>
                <w:szCs w:val="22"/>
              </w:rPr>
              <w:noBreakHyphen/>
              <w:t>C Benefits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5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CPDLC/ADS</w:t>
            </w:r>
            <w:r w:rsidRPr="006A6A1C">
              <w:rPr>
                <w:kern w:val="24"/>
                <w:szCs w:val="22"/>
              </w:rPr>
              <w:noBreakHyphen/>
              <w:t>C Interoperability Standards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321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CPDLC/ADS</w:t>
            </w:r>
            <w:r w:rsidRPr="006A6A1C">
              <w:rPr>
                <w:kern w:val="24"/>
                <w:szCs w:val="22"/>
              </w:rPr>
              <w:noBreakHyphen/>
              <w:t>C – Safety and Performance Specifications: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Oceanic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Continental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Performance-Based Communications and Surveillance (PBCS)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Airspace Types and their CPDLC/ADS</w:t>
            </w:r>
            <w:r w:rsidRPr="006A6A1C">
              <w:rPr>
                <w:kern w:val="24"/>
                <w:szCs w:val="22"/>
              </w:rPr>
              <w:noBreakHyphen/>
              <w:t>C Capabilities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Procedural Separation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ATS Surveillance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Flight Tracking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Global Overview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0E37DE" w:rsidRDefault="000E37DE" w:rsidP="00BD160F">
      <w:pPr>
        <w:kinsoku w:val="0"/>
        <w:overflowPunct w:val="0"/>
        <w:ind w:right="-36"/>
        <w:rPr>
          <w:kern w:val="24"/>
          <w:szCs w:val="22"/>
        </w:rPr>
      </w:pPr>
    </w:p>
    <w:p w:rsidR="000E37DE" w:rsidRDefault="000E37DE">
      <w:pPr>
        <w:autoSpaceDE/>
        <w:autoSpaceDN/>
        <w:adjustRightInd/>
        <w:spacing w:after="200" w:line="276" w:lineRule="auto"/>
        <w:jc w:val="left"/>
        <w:rPr>
          <w:kern w:val="24"/>
          <w:szCs w:val="22"/>
        </w:rPr>
      </w:pPr>
      <w:r>
        <w:rPr>
          <w:kern w:val="24"/>
          <w:szCs w:val="22"/>
        </w:rPr>
        <w:br w:type="page"/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lastRenderedPageBreak/>
        <w:t>4.3</w:t>
      </w:r>
      <w:r w:rsidRPr="006A6A1C">
        <w:rPr>
          <w:kern w:val="24"/>
          <w:szCs w:val="22"/>
        </w:rPr>
        <w:tab/>
        <w:t xml:space="preserve">What aspects of administrative provisions related to CPDLC/ADS C operations would benefit your ANSP’s current capability or future implementation? </w:t>
      </w:r>
      <w:r w:rsidRPr="006A6A1C">
        <w:rPr>
          <w:b/>
          <w:bCs/>
          <w:kern w:val="24"/>
          <w:szCs w:val="22"/>
        </w:rPr>
        <w:t>(</w:t>
      </w:r>
      <w:r w:rsidRPr="006A6A1C">
        <w:rPr>
          <w:kern w:val="24"/>
          <w:szCs w:val="22"/>
        </w:rPr>
        <w:t>Please refer to GOLD Chapter 3 for further information)</w:t>
      </w:r>
    </w:p>
    <w:tbl>
      <w:tblPr>
        <w:tblW w:w="9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591"/>
        <w:gridCol w:w="592"/>
        <w:gridCol w:w="592"/>
        <w:gridCol w:w="592"/>
        <w:gridCol w:w="592"/>
      </w:tblGrid>
      <w:tr w:rsidR="00BD160F" w:rsidRPr="006A6A1C" w:rsidTr="002F7B53">
        <w:trPr>
          <w:trHeight w:hRule="exact" w:val="376"/>
        </w:trPr>
        <w:tc>
          <w:tcPr>
            <w:tcW w:w="6521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C12C8D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Not at all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Very Much</w:t>
            </w:r>
          </w:p>
        </w:tc>
      </w:tr>
      <w:tr w:rsidR="00BD160F" w:rsidRPr="006A6A1C" w:rsidTr="002F7B53">
        <w:trPr>
          <w:trHeight w:hRule="exact" w:val="376"/>
        </w:trPr>
        <w:tc>
          <w:tcPr>
            <w:tcW w:w="65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2F7B53">
        <w:trPr>
          <w:trHeight w:hRule="exact" w:val="2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ANSP System Validation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ATC Automated CPDLC/ADS</w:t>
            </w:r>
            <w:r w:rsidRPr="006A6A1C">
              <w:rPr>
                <w:kern w:val="24"/>
                <w:szCs w:val="22"/>
              </w:rPr>
              <w:noBreakHyphen/>
              <w:t>C Functions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32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Contractual Considerations for Communication Service Providers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Aeronautical Information, notifications, and Interfaculty Agreements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Monitoring and Data Recording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BD160F" w:rsidP="002F7B53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Planning and coordination with aircraft operators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4.4</w:t>
      </w:r>
      <w:r w:rsidRPr="006A6A1C">
        <w:rPr>
          <w:kern w:val="24"/>
          <w:szCs w:val="22"/>
        </w:rPr>
        <w:tab/>
        <w:t>What aspects of controller and radio operator procedures related to CPDLC/ADS C operations would benefit your ANSP’s current capability or future implementation? (Please refer to GOLD Chapter 4 for further information)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186"/>
        <w:gridCol w:w="549"/>
        <w:gridCol w:w="550"/>
        <w:gridCol w:w="550"/>
        <w:gridCol w:w="550"/>
        <w:gridCol w:w="550"/>
      </w:tblGrid>
      <w:tr w:rsidR="00BD160F" w:rsidRPr="006A6A1C" w:rsidTr="002F7B53">
        <w:trPr>
          <w:trHeight w:hRule="exact" w:val="372"/>
        </w:trPr>
        <w:tc>
          <w:tcPr>
            <w:tcW w:w="660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C12C8D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Not at all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Very Much</w:t>
            </w:r>
          </w:p>
        </w:tc>
      </w:tr>
      <w:tr w:rsidR="00BD160F" w:rsidRPr="006A6A1C" w:rsidTr="002F7B53">
        <w:trPr>
          <w:trHeight w:hRule="exact" w:val="322"/>
        </w:trPr>
        <w:tc>
          <w:tcPr>
            <w:tcW w:w="660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2F7B53">
        <w:trPr>
          <w:trHeight w:hRule="exact" w:val="253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 xml:space="preserve">General Overview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5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CPDLC: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Managing CPDLC connection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Use of Uplink Messages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Responding to Downlink Messages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ADS-C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Managing ADS</w:t>
            </w:r>
            <w:r w:rsidRPr="006A6A1C">
              <w:rPr>
                <w:kern w:val="24"/>
                <w:szCs w:val="22"/>
              </w:rPr>
              <w:noBreakHyphen/>
              <w:t>C connection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Use of the Periodic Contract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FF5431">
        <w:trPr>
          <w:trHeight w:hRule="exact" w:val="5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Use of the Event Contract (Waypoint, Lateral Deviation</w:t>
            </w:r>
            <w:r w:rsidR="00FF5431">
              <w:rPr>
                <w:kern w:val="24"/>
                <w:szCs w:val="22"/>
              </w:rPr>
              <w:t>,</w:t>
            </w:r>
            <w:r w:rsidRPr="006A6A1C">
              <w:rPr>
                <w:kern w:val="24"/>
                <w:szCs w:val="22"/>
              </w:rPr>
              <w:t xml:space="preserve">, </w:t>
            </w:r>
            <w:r w:rsidR="00FF5431">
              <w:rPr>
                <w:kern w:val="24"/>
                <w:szCs w:val="22"/>
              </w:rPr>
              <w:br/>
            </w:r>
            <w:r w:rsidRPr="006A6A1C">
              <w:rPr>
                <w:kern w:val="24"/>
                <w:szCs w:val="22"/>
              </w:rPr>
              <w:t>Level Range Deviation, Vertical Rate Change)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Use of the Demand Contract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Emergency and non-routine procedures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Using CPDLC/ADS</w:t>
            </w:r>
            <w:r w:rsidRPr="006A6A1C">
              <w:rPr>
                <w:kern w:val="24"/>
                <w:szCs w:val="22"/>
              </w:rPr>
              <w:noBreakHyphen/>
              <w:t>C to apply Separation Minima: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General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Vertical separation minima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Lateral separation minima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2F7B53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2F7B53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Longitudinal separation minima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2F7B53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b/>
          <w:bCs/>
          <w:kern w:val="24"/>
          <w:szCs w:val="22"/>
        </w:rPr>
        <w:t>5. REMARKS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5.1</w:t>
      </w:r>
      <w:r w:rsidRPr="006A6A1C">
        <w:rPr>
          <w:kern w:val="24"/>
          <w:szCs w:val="22"/>
        </w:rPr>
        <w:tab/>
        <w:t>Are there any uses for CPDLC and ADS-C that are not covered in other sections of this survey which you have questions about?</w:t>
      </w: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lastRenderedPageBreak/>
        <w:t>5.2</w:t>
      </w:r>
      <w:r w:rsidRPr="006A6A1C">
        <w:rPr>
          <w:kern w:val="24"/>
          <w:szCs w:val="22"/>
        </w:rPr>
        <w:tab/>
        <w:t>Is your ANSP currently experiencing any issues or problems where CPDLC/ADS-C could potentially provide a solution to improve efficiency or safety in the airspace?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kern w:val="24"/>
          <w:szCs w:val="22"/>
        </w:rPr>
        <w:t>5.3</w:t>
      </w:r>
      <w:r w:rsidRPr="006A6A1C">
        <w:rPr>
          <w:kern w:val="24"/>
          <w:szCs w:val="22"/>
        </w:rPr>
        <w:tab/>
        <w:t xml:space="preserve">Any other remarks, comments, or information, you would like </w:t>
      </w:r>
      <w:r w:rsidR="00B11679">
        <w:rPr>
          <w:kern w:val="24"/>
          <w:szCs w:val="22"/>
        </w:rPr>
        <w:t>ICAO</w:t>
      </w:r>
      <w:bookmarkStart w:id="0" w:name="_GoBack"/>
      <w:bookmarkEnd w:id="0"/>
      <w:r w:rsidRPr="006A6A1C">
        <w:rPr>
          <w:kern w:val="24"/>
          <w:szCs w:val="22"/>
        </w:rPr>
        <w:t xml:space="preserve"> to be aware of and have ready for discussion during the workshop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  <w:r w:rsidRPr="006A6A1C">
        <w:rPr>
          <w:kern w:val="24"/>
          <w:szCs w:val="22"/>
        </w:rPr>
        <w:t>— — — — — — — —</w:t>
      </w:r>
    </w:p>
    <w:p w:rsidR="00167EB8" w:rsidRPr="006A6A1C" w:rsidRDefault="00B11679">
      <w:pPr>
        <w:rPr>
          <w:szCs w:val="22"/>
        </w:rPr>
      </w:pPr>
    </w:p>
    <w:sectPr w:rsidR="00167EB8" w:rsidRPr="006A6A1C" w:rsidSect="006A6A1C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1C" w:rsidRDefault="006A6A1C" w:rsidP="006A6A1C">
      <w:r>
        <w:separator/>
      </w:r>
    </w:p>
  </w:endnote>
  <w:endnote w:type="continuationSeparator" w:id="0">
    <w:p w:rsidR="006A6A1C" w:rsidRDefault="006A6A1C" w:rsidP="006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1C" w:rsidRDefault="006A6A1C" w:rsidP="006A6A1C">
      <w:r>
        <w:separator/>
      </w:r>
    </w:p>
  </w:footnote>
  <w:footnote w:type="continuationSeparator" w:id="0">
    <w:p w:rsidR="006A6A1C" w:rsidRDefault="006A6A1C" w:rsidP="006A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1C" w:rsidRDefault="006A6A1C">
    <w:pPr>
      <w:pStyle w:val="Header"/>
      <w:jc w:val="center"/>
    </w:pPr>
    <w:r>
      <w:t xml:space="preserve">— </w:t>
    </w:r>
    <w:sdt>
      <w:sdtPr>
        <w:id w:val="-9049833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B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67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—</w:t>
        </w:r>
      </w:sdtContent>
    </w:sdt>
  </w:p>
  <w:p w:rsidR="006A6A1C" w:rsidRDefault="006A6A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1C" w:rsidRDefault="006A6A1C" w:rsidP="006A6A1C">
    <w:pPr>
      <w:pStyle w:val="Header"/>
      <w:jc w:val="center"/>
    </w:pPr>
    <w:r>
      <w:t xml:space="preserve">— </w:t>
    </w:r>
    <w:sdt>
      <w:sdtPr>
        <w:id w:val="-15707214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B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67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—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1C" w:rsidRPr="006A6A1C" w:rsidRDefault="006A6A1C" w:rsidP="006A6A1C">
    <w:pPr>
      <w:pStyle w:val="Header"/>
      <w:jc w:val="center"/>
      <w:rPr>
        <w:b/>
        <w:lang w:val="es-MX"/>
      </w:rPr>
    </w:pPr>
    <w:proofErr w:type="spellStart"/>
    <w:r w:rsidRPr="006A6A1C">
      <w:rPr>
        <w:b/>
        <w:lang w:val="es-MX"/>
      </w:rPr>
      <w:t>ATTACHMENT</w:t>
    </w:r>
    <w:proofErr w:type="spellEnd"/>
    <w:r w:rsidRPr="006A6A1C">
      <w:rPr>
        <w:b/>
        <w:lang w:val="es-MX"/>
      </w:rPr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0F"/>
    <w:rsid w:val="000E37DE"/>
    <w:rsid w:val="00385FCC"/>
    <w:rsid w:val="004E0DC4"/>
    <w:rsid w:val="00524D5C"/>
    <w:rsid w:val="005703C3"/>
    <w:rsid w:val="00582552"/>
    <w:rsid w:val="00680CAF"/>
    <w:rsid w:val="006A6A1C"/>
    <w:rsid w:val="006A6EFB"/>
    <w:rsid w:val="006B41A5"/>
    <w:rsid w:val="006C3BC2"/>
    <w:rsid w:val="00790E35"/>
    <w:rsid w:val="0090370D"/>
    <w:rsid w:val="00961650"/>
    <w:rsid w:val="009A0225"/>
    <w:rsid w:val="009A797C"/>
    <w:rsid w:val="00A93128"/>
    <w:rsid w:val="00B11679"/>
    <w:rsid w:val="00BA4A25"/>
    <w:rsid w:val="00BD160F"/>
    <w:rsid w:val="00C04FB6"/>
    <w:rsid w:val="00C12C8D"/>
    <w:rsid w:val="00D90FAC"/>
    <w:rsid w:val="00DD2D1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D1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6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D160F"/>
    <w:pPr>
      <w:tabs>
        <w:tab w:val="center" w:pos="4320"/>
        <w:tab w:val="right" w:pos="8640"/>
      </w:tabs>
      <w:autoSpaceDE/>
      <w:autoSpaceDN/>
      <w:adjustRightInd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160F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A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1C"/>
    <w:rPr>
      <w:rFonts w:ascii="Times New Roman" w:eastAsia="Times New Roman" w:hAnsi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D1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6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D160F"/>
    <w:pPr>
      <w:tabs>
        <w:tab w:val="center" w:pos="4320"/>
        <w:tab w:val="right" w:pos="8640"/>
      </w:tabs>
      <w:autoSpaceDE/>
      <w:autoSpaceDN/>
      <w:adjustRightInd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160F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A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1C"/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EEDA2-CF84-448C-AFB1-547346466B92}"/>
</file>

<file path=customXml/itemProps2.xml><?xml version="1.0" encoding="utf-8"?>
<ds:datastoreItem xmlns:ds="http://schemas.openxmlformats.org/officeDocument/2006/customXml" ds:itemID="{4C2D2F68-11CA-425E-B57C-A7D9E652BFEC}"/>
</file>

<file path=customXml/itemProps3.xml><?xml version="1.0" encoding="utf-8"?>
<ds:datastoreItem xmlns:ds="http://schemas.openxmlformats.org/officeDocument/2006/customXml" ds:itemID="{ECB57D6C-C393-439F-A60F-7E0C2B6DF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Siu, Julio</dc:creator>
  <cp:lastModifiedBy>Gómez, Sybil</cp:lastModifiedBy>
  <cp:revision>13</cp:revision>
  <dcterms:created xsi:type="dcterms:W3CDTF">2016-02-08T17:38:00Z</dcterms:created>
  <dcterms:modified xsi:type="dcterms:W3CDTF">2016-02-12T16:45:00Z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