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FE2722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0C881029" wp14:editId="5AE0B5EE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DA52CB" w:rsidRPr="00C95053" w:rsidRDefault="00DA52CB" w:rsidP="00DA52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282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FE2722" w:rsidP="00F737BF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DGP-WG/14</w:t>
                  </w:r>
                  <w:r w:rsidR="00E013C5">
                    <w:rPr>
                      <w:szCs w:val="22"/>
                    </w:rPr>
                    <w:t>-W</w:t>
                  </w:r>
                  <w:r>
                    <w:rPr>
                      <w:szCs w:val="22"/>
                    </w:rPr>
                    <w:t>P/</w:t>
                  </w:r>
                  <w:proofErr w:type="spellStart"/>
                  <w:r>
                    <w:rPr>
                      <w:szCs w:val="22"/>
                    </w:rPr>
                    <w:t>xxxx</w:t>
                  </w:r>
                  <w:bookmarkEnd w:id="1"/>
                  <w:proofErr w:type="spellEnd"/>
                </w:p>
                <w:p w:rsidR="00A2022F" w:rsidRPr="00A2022F" w:rsidRDefault="00DA4B7E" w:rsidP="00DA4B7E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vision_no"/>
                  <w:bookmarkStart w:id="3" w:name="restricted"/>
                  <w:bookmarkStart w:id="4" w:name="addendum_corrigendum_appendix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dd/mm</w:t>
                  </w:r>
                  <w:bookmarkStart w:id="8" w:name="_GoBack"/>
                  <w:bookmarkEnd w:id="8"/>
                  <w:r w:rsidR="00FE2722">
                    <w:rPr>
                      <w:sz w:val="18"/>
                      <w:szCs w:val="18"/>
                    </w:rPr>
                    <w:t>/14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9" w:name="info_paper"/>
                  <w:bookmarkEnd w:id="9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F737BF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0" w:name="language"/>
                  <w:bookmarkEnd w:id="10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FE2722" w:rsidRDefault="00FE2722" w:rsidP="00DA52CB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>DANGEROUS GOODS PANEL (DGP)</w:t>
      </w:r>
    </w:p>
    <w:p w:rsidR="00DA52CB" w:rsidRPr="0018581E" w:rsidRDefault="00FE2722" w:rsidP="00FE2722">
      <w:pPr>
        <w:jc w:val="center"/>
        <w:rPr>
          <w:b/>
          <w:szCs w:val="22"/>
        </w:rPr>
      </w:pPr>
      <w:r>
        <w:rPr>
          <w:b/>
          <w:sz w:val="26"/>
          <w:szCs w:val="26"/>
        </w:rPr>
        <w:t>MEETING OF THE WORKING GROUP OF THE WHOLE</w:t>
      </w:r>
      <w:bookmarkEnd w:id="12"/>
    </w:p>
    <w:p w:rsidR="00DA52CB" w:rsidRPr="00D17232" w:rsidRDefault="00FE2722" w:rsidP="00DA52CB">
      <w:bookmarkStart w:id="13" w:name="text_below"/>
      <w:bookmarkEnd w:id="13"/>
      <w:r>
        <w:rPr>
          <w:b/>
          <w:szCs w:val="22"/>
        </w:rPr>
        <w:t xml:space="preserve"> </w:t>
      </w:r>
    </w:p>
    <w:p w:rsidR="00DA52CB" w:rsidRDefault="00FE2722" w:rsidP="00DA52CB">
      <w:pPr>
        <w:jc w:val="center"/>
        <w:rPr>
          <w:b/>
          <w:szCs w:val="22"/>
        </w:rPr>
      </w:pPr>
      <w:r w:rsidRPr="00707B21">
        <w:rPr>
          <w:b/>
          <w:szCs w:val="22"/>
        </w:rPr>
        <w:t>Rio de Janeiro</w:t>
      </w:r>
      <w:r>
        <w:rPr>
          <w:b/>
          <w:szCs w:val="22"/>
          <w:lang w:val="fr-CA"/>
        </w:rPr>
        <w:t>,</w:t>
      </w:r>
      <w:r w:rsidRPr="00707B21">
        <w:rPr>
          <w:b/>
          <w:szCs w:val="22"/>
        </w:rPr>
        <w:t xml:space="preserve"> Brazil</w:t>
      </w:r>
      <w:r>
        <w:rPr>
          <w:b/>
          <w:szCs w:val="22"/>
          <w:lang w:val="fr-CA"/>
        </w:rPr>
        <w:t>, 20 to 24</w:t>
      </w:r>
      <w:r w:rsidRPr="00707B21">
        <w:rPr>
          <w:b/>
          <w:szCs w:val="22"/>
        </w:rPr>
        <w:t xml:space="preserve"> October</w:t>
      </w:r>
      <w:r>
        <w:rPr>
          <w:b/>
          <w:szCs w:val="22"/>
          <w:lang w:val="fr-CA"/>
        </w:rPr>
        <w:t xml:space="preserve"> 2014</w:t>
      </w:r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490"/>
        <w:gridCol w:w="387"/>
        <w:gridCol w:w="7533"/>
      </w:tblGrid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FE2722" w:rsidRDefault="00FE2722" w:rsidP="00DA52CB">
            <w:pPr>
              <w:rPr>
                <w:b/>
                <w:szCs w:val="22"/>
              </w:rPr>
            </w:pPr>
            <w:bookmarkStart w:id="15" w:name="agenda_item"/>
            <w:bookmarkEnd w:id="15"/>
            <w:r w:rsidRPr="00FE2722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E2722" w:rsidRPr="00FE2722" w:rsidRDefault="00FE2722" w:rsidP="00DA52CB">
            <w:pPr>
              <w:rPr>
                <w:b/>
                <w:szCs w:val="22"/>
              </w:rPr>
            </w:pPr>
            <w:r w:rsidRPr="00FE2722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FE2722" w:rsidRPr="00FE2722" w:rsidRDefault="00FE2722" w:rsidP="00DA52CB">
            <w:pPr>
              <w:rPr>
                <w:b/>
                <w:szCs w:val="22"/>
              </w:rPr>
            </w:pPr>
            <w:r w:rsidRPr="0005172E">
              <w:t xml:space="preserve">Development of proposals, if necessary, for amendments to Annex 18 — </w:t>
            </w:r>
            <w:r w:rsidRPr="0005172E">
              <w:rPr>
                <w:i/>
                <w:iCs/>
              </w:rPr>
              <w:t>Th</w:t>
            </w:r>
            <w:r w:rsidRPr="0005172E">
              <w:rPr>
                <w:i/>
                <w:iCs/>
                <w:color w:val="000000"/>
              </w:rPr>
              <w:t>e</w:t>
            </w:r>
            <w:r w:rsidRPr="0005172E">
              <w:rPr>
                <w:i/>
                <w:iCs/>
              </w:rPr>
              <w:t xml:space="preserve"> Safe Transport of Dangerous Goods by Air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</w:pPr>
            <w:r w:rsidRPr="0005172E">
              <w:t>2:</w:t>
            </w:r>
          </w:p>
          <w:p w:rsidR="00FE2722" w:rsidRPr="0005172E" w:rsidRDefault="00FE2722" w:rsidP="001A38A4">
            <w:pPr>
              <w:widowControl w:val="0"/>
              <w:snapToGrid w:val="0"/>
              <w:jc w:val="left"/>
            </w:pP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  <w:jc w:val="left"/>
            </w:pPr>
            <w:r w:rsidRPr="0005172E">
              <w:t xml:space="preserve">Development of recommendations for amendments to the </w:t>
            </w:r>
            <w:r w:rsidRPr="0005172E">
              <w:rPr>
                <w:i/>
                <w:iCs/>
              </w:rPr>
              <w:t xml:space="preserve">Technical Instructions for the Safe Transport of Dangerous Goods by Air </w:t>
            </w:r>
            <w:r w:rsidRPr="0005172E">
              <w:t>(Doc 9284) for incorporation in the 201</w:t>
            </w:r>
            <w:r>
              <w:t>7</w:t>
            </w:r>
            <w:r w:rsidRPr="0005172E">
              <w:t>-201</w:t>
            </w:r>
            <w:r>
              <w:t>8</w:t>
            </w:r>
            <w:r w:rsidRPr="0005172E">
              <w:t xml:space="preserve"> Edition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2.1: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1 — General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2.2: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2 — Classification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2.3: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3 — Dangerous Goods List, Special Provisions and Limited and Excepted Quantities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2.4: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4 — Packing Instructions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2.5: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5 — Shipper’s Responsibilities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2.6: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6 — Packaging Nomenclature, Marking, Requirements and Tests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2.7: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7 — Operator’s Responsibilities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2.8: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Part 8 — Provisions Concerning Passengers and Crew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3: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 xml:space="preserve">Development of recommendations for amendments to the </w:t>
            </w:r>
            <w:r w:rsidRPr="0005172E">
              <w:rPr>
                <w:i/>
                <w:iCs/>
              </w:rPr>
              <w:t xml:space="preserve">Supplement to the Technical Instructions for the Safe Transport of Dangerous Goods by Air </w:t>
            </w:r>
            <w:r w:rsidRPr="0005172E">
              <w:t>(Doc 9284SU) for incorporation in the 201</w:t>
            </w:r>
            <w:r>
              <w:t>7</w:t>
            </w:r>
            <w:r w:rsidRPr="0005172E">
              <w:t>-201</w:t>
            </w:r>
            <w:r>
              <w:t>8</w:t>
            </w:r>
            <w:r w:rsidRPr="0005172E">
              <w:t xml:space="preserve"> Edition</w:t>
            </w:r>
          </w:p>
        </w:tc>
      </w:tr>
      <w:tr w:rsidR="00FE2722" w:rsidTr="00FE2722"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>4:</w:t>
            </w:r>
          </w:p>
        </w:tc>
        <w:tc>
          <w:tcPr>
            <w:tcW w:w="0" w:type="auto"/>
            <w:shd w:val="clear" w:color="auto" w:fill="auto"/>
          </w:tcPr>
          <w:p w:rsidR="00FE2722" w:rsidRPr="0005172E" w:rsidRDefault="00FE2722" w:rsidP="001A38A4">
            <w:pPr>
              <w:widowControl w:val="0"/>
              <w:snapToGrid w:val="0"/>
            </w:pPr>
            <w:r w:rsidRPr="0005172E">
              <w:t xml:space="preserve">Development of recommendations for amendments to the </w:t>
            </w:r>
            <w:r w:rsidRPr="0005172E">
              <w:rPr>
                <w:i/>
                <w:iCs/>
              </w:rPr>
              <w:t>Emergency Response Guidance for Aircraft Incidents involving Dangerous Goods</w:t>
            </w:r>
            <w:r w:rsidRPr="0005172E">
              <w:t xml:space="preserve"> (Doc 9481) for incorporation in the 201</w:t>
            </w:r>
            <w:r>
              <w:t>7</w:t>
            </w:r>
            <w:r w:rsidRPr="0005172E">
              <w:t>-201</w:t>
            </w:r>
            <w:r>
              <w:t>8</w:t>
            </w:r>
            <w:r w:rsidRPr="0005172E">
              <w:t xml:space="preserve"> Edition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 w:rsidRPr="0005172E">
              <w:t>5: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Del="001D7FBF" w:rsidRDefault="001A6D6B" w:rsidP="00C12D2B">
            <w:pPr>
              <w:widowControl w:val="0"/>
              <w:snapToGrid w:val="0"/>
              <w:jc w:val="left"/>
            </w:pPr>
            <w:r w:rsidRPr="0005172E">
              <w:t xml:space="preserve">Review of provisions for the </w:t>
            </w:r>
            <w:r>
              <w:t xml:space="preserve">safe </w:t>
            </w:r>
            <w:r w:rsidRPr="0005172E">
              <w:t>transport of lithium batteries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 w:rsidRPr="0005172E">
              <w:t>5.1: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Del="001D7FBF" w:rsidRDefault="001A6D6B" w:rsidP="00C12D2B">
            <w:pPr>
              <w:widowControl w:val="0"/>
              <w:snapToGrid w:val="0"/>
              <w:jc w:val="left"/>
            </w:pPr>
            <w:r w:rsidRPr="0005172E">
              <w:t>Improved hazard communication for energy storage devices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 w:rsidRPr="0005172E">
              <w:t>5.2: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Del="001D7FBF" w:rsidRDefault="001A6D6B" w:rsidP="00C12D2B">
            <w:pPr>
              <w:widowControl w:val="0"/>
              <w:snapToGrid w:val="0"/>
              <w:jc w:val="left"/>
            </w:pPr>
            <w:r w:rsidRPr="0005172E">
              <w:t>Simplification and clarification of provisions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 w:rsidRPr="0005172E">
              <w:t>5.3: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Del="001D7FBF" w:rsidRDefault="001A6D6B" w:rsidP="00C12D2B">
            <w:pPr>
              <w:widowControl w:val="0"/>
              <w:snapToGrid w:val="0"/>
              <w:jc w:val="left"/>
            </w:pPr>
            <w:r>
              <w:t>Development of guidance material to assist States with oversight and awareness programmes related to the safe transport of dangerous goods, with an emphasis on lithium batteries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 w:rsidRPr="0005172E">
              <w:t>5.4:</w:t>
            </w:r>
          </w:p>
        </w:tc>
        <w:tc>
          <w:tcPr>
            <w:tcW w:w="0" w:type="auto"/>
            <w:shd w:val="clear" w:color="auto" w:fill="auto"/>
          </w:tcPr>
          <w:p w:rsidR="001A6D6B" w:rsidRPr="002017E6" w:rsidDel="001D7FBF" w:rsidRDefault="001A6D6B" w:rsidP="00C12D2B">
            <w:pPr>
              <w:widowControl w:val="0"/>
              <w:snapToGrid w:val="0"/>
              <w:jc w:val="left"/>
              <w:rPr>
                <w:strike/>
              </w:rPr>
            </w:pPr>
            <w:r>
              <w:t xml:space="preserve">Consideration </w:t>
            </w:r>
            <w:r w:rsidRPr="005911E8">
              <w:t>of recommendations from the</w:t>
            </w:r>
            <w:r>
              <w:t xml:space="preserve"> </w:t>
            </w:r>
            <w:r w:rsidRPr="00B70B7A">
              <w:t xml:space="preserve">International </w:t>
            </w:r>
            <w:r>
              <w:t>Multidisciplinary</w:t>
            </w:r>
            <w:r w:rsidRPr="00115AF9">
              <w:t xml:space="preserve"> Lithium Battery Transport Coordination Meeting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>
              <w:t>5.5: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C12D2B">
            <w:pPr>
              <w:widowControl w:val="0"/>
              <w:snapToGrid w:val="0"/>
            </w:pPr>
            <w:r>
              <w:t xml:space="preserve">Consideration of safety recommendations from the General Civil Aviation Authority of the United Arab Emirates (GCAA UAE) on the accident </w:t>
            </w:r>
            <w:r w:rsidRPr="005911E8">
              <w:t>involving a Boeing</w:t>
            </w:r>
            <w:r>
              <w:t> </w:t>
            </w:r>
            <w:r w:rsidRPr="005911E8">
              <w:t>747</w:t>
            </w:r>
            <w:r>
              <w:noBreakHyphen/>
            </w:r>
            <w:r w:rsidRPr="005911E8">
              <w:t>44AF on 3 September 2010 near Dubai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>
              <w:t>5.6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C12D2B">
            <w:pPr>
              <w:widowControl w:val="0"/>
              <w:snapToGrid w:val="0"/>
              <w:jc w:val="left"/>
            </w:pPr>
            <w:r>
              <w:t>Miscellaneous lithium battery issues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tabs>
                <w:tab w:val="right" w:pos="1638"/>
              </w:tabs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 xml:space="preserve">Agenda Item  </w:t>
            </w: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snapToGrid w:val="0"/>
              <w:jc w:val="left"/>
            </w:pPr>
            <w:r w:rsidRPr="0005172E">
              <w:t>6: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 w:rsidRPr="0005172E">
              <w:t>Resolution, where possible, of the non-recurrent work items identified by Air Navigation Commission or the Dangerous Goods Panel: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tabs>
                <w:tab w:val="right" w:pos="1440"/>
              </w:tabs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snapToGrid w:val="0"/>
              <w:jc w:val="left"/>
            </w:pPr>
            <w:r w:rsidRPr="0005172E">
              <w:t>6.1: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 w:rsidRPr="0005172E">
              <w:t>Dangerous incident and accident data collection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tabs>
                <w:tab w:val="right" w:pos="1426"/>
              </w:tabs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snapToGrid w:val="0"/>
              <w:jc w:val="left"/>
            </w:pPr>
            <w:r w:rsidRPr="0005172E">
              <w:t>6.</w:t>
            </w:r>
            <w:r>
              <w:t>2</w:t>
            </w:r>
            <w:r w:rsidRPr="0005172E">
              <w:t>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 w:rsidRPr="0005172E">
              <w:t>Development of guidance material on countering the potential use of dangerous goods in an act of unlawful interference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tabs>
                <w:tab w:val="right" w:pos="1426"/>
              </w:tabs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lastRenderedPageBreak/>
              <w:tab/>
            </w: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Del="001D7FBF" w:rsidRDefault="001A6D6B" w:rsidP="001A38A4">
            <w:pPr>
              <w:widowControl w:val="0"/>
              <w:snapToGrid w:val="0"/>
              <w:jc w:val="left"/>
            </w:pPr>
            <w:r w:rsidRPr="0005172E">
              <w:t>6.</w:t>
            </w:r>
            <w:r>
              <w:t>3</w:t>
            </w:r>
            <w:r w:rsidRPr="0005172E">
              <w:t>:</w:t>
            </w:r>
          </w:p>
        </w:tc>
        <w:tc>
          <w:tcPr>
            <w:tcW w:w="0" w:type="auto"/>
            <w:shd w:val="clear" w:color="auto" w:fill="auto"/>
          </w:tcPr>
          <w:p w:rsidR="001A6D6B" w:rsidRPr="00F737BF" w:rsidRDefault="00F737BF" w:rsidP="00F737BF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Development of competency-based training provisions for dangerous goods 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tabs>
                <w:tab w:val="right" w:pos="1426"/>
              </w:tabs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>
              <w:t>6.4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>
              <w:t>Consideration of transitional measures for amendments to the Technical Instructions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snapToGrid w:val="0"/>
              <w:jc w:val="left"/>
              <w:rPr>
                <w:b/>
                <w:bCs/>
              </w:rPr>
            </w:pPr>
            <w:r w:rsidRPr="0005172E">
              <w:rPr>
                <w:b/>
                <w:bCs/>
              </w:rPr>
              <w:t xml:space="preserve">Agenda Item </w:t>
            </w:r>
          </w:p>
        </w:tc>
        <w:tc>
          <w:tcPr>
            <w:tcW w:w="0" w:type="auto"/>
            <w:shd w:val="clear" w:color="auto" w:fill="auto"/>
            <w:noWrap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 w:rsidRPr="0005172E">
              <w:t>7:</w:t>
            </w: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1A38A4">
            <w:pPr>
              <w:widowControl w:val="0"/>
              <w:snapToGrid w:val="0"/>
              <w:jc w:val="left"/>
            </w:pPr>
            <w:r w:rsidRPr="0005172E">
              <w:t>Other business</w:t>
            </w:r>
          </w:p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FE2722" w:rsidRDefault="001A6D6B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FE2722" w:rsidRDefault="001A6D6B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DA52CB"/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FE2722" w:rsidRDefault="001A6D6B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FE2722" w:rsidRDefault="001A6D6B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DA52CB"/>
        </w:tc>
      </w:tr>
      <w:tr w:rsidR="001A6D6B" w:rsidTr="00FE2722">
        <w:tc>
          <w:tcPr>
            <w:tcW w:w="0" w:type="auto"/>
            <w:shd w:val="clear" w:color="auto" w:fill="auto"/>
            <w:noWrap/>
          </w:tcPr>
          <w:p w:rsidR="001A6D6B" w:rsidRPr="00FE2722" w:rsidRDefault="001A6D6B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A6D6B" w:rsidRPr="00FE2722" w:rsidRDefault="001A6D6B" w:rsidP="00DA52CB">
            <w:pPr>
              <w:rPr>
                <w:b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1A6D6B" w:rsidRPr="0005172E" w:rsidRDefault="001A6D6B" w:rsidP="00DA52CB"/>
        </w:tc>
      </w:tr>
    </w:tbl>
    <w:p w:rsidR="00884480" w:rsidRDefault="00884480" w:rsidP="00DA52CB">
      <w:pPr>
        <w:rPr>
          <w:szCs w:val="22"/>
        </w:rPr>
      </w:pPr>
    </w:p>
    <w:p w:rsidR="00DA52CB" w:rsidRDefault="00FE2722" w:rsidP="00C57ED2">
      <w:pPr>
        <w:pStyle w:val="TitleMain"/>
      </w:pPr>
      <w:bookmarkStart w:id="16" w:name="title"/>
      <w:r>
        <w:t>TEMPLATE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FE2722" w:rsidP="00FE2722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>(Presented by ...)</w:t>
      </w:r>
      <w:bookmarkEnd w:id="17"/>
    </w:p>
    <w:p w:rsidR="00DA52CB" w:rsidRPr="007307A8" w:rsidRDefault="00FE2722" w:rsidP="00DA52CB">
      <w:pPr>
        <w:jc w:val="center"/>
        <w:rPr>
          <w:szCs w:val="22"/>
        </w:rPr>
      </w:pPr>
      <w:bookmarkStart w:id="18" w:name="addendum_below_title"/>
      <w:bookmarkEnd w:id="18"/>
      <w:r>
        <w:rPr>
          <w:b/>
          <w:szCs w:val="22"/>
        </w:rPr>
        <w:t xml:space="preserve"> </w:t>
      </w:r>
    </w:p>
    <w:p w:rsidR="00DA52CB" w:rsidRDefault="00FE2722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Borders>
          <w:insideH w:val="none" w:sz="0" w:space="0" w:color="auto"/>
          <w:insideV w:val="none" w:sz="0" w:space="0" w:color="auto"/>
        </w:tblBorders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FE2722" w:rsidRPr="00FE2722" w:rsidTr="00FE2722">
        <w:trPr>
          <w:jc w:val="center"/>
        </w:trPr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FE2722" w:rsidRPr="00FE2722" w:rsidRDefault="00FE2722" w:rsidP="00FE2722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>
              <w:rPr>
                <w:b/>
                <w:szCs w:val="22"/>
              </w:rPr>
              <w:t>SUMMARY</w:t>
            </w:r>
          </w:p>
        </w:tc>
      </w:tr>
      <w:tr w:rsidR="00FE2722" w:rsidRPr="00FE2722" w:rsidTr="00FE2722">
        <w:trPr>
          <w:jc w:val="center"/>
        </w:trPr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2722" w:rsidRDefault="00FE2722" w:rsidP="00FE2722">
            <w:pPr>
              <w:jc w:val="left"/>
              <w:rPr>
                <w:szCs w:val="22"/>
              </w:rPr>
            </w:pPr>
          </w:p>
          <w:p w:rsidR="00884480" w:rsidRPr="00FE2722" w:rsidRDefault="00884480" w:rsidP="00FE2722">
            <w:pPr>
              <w:jc w:val="left"/>
              <w:rPr>
                <w:szCs w:val="22"/>
              </w:rPr>
            </w:pPr>
            <w:r w:rsidRPr="00F17697">
              <w:rPr>
                <w:szCs w:val="22"/>
              </w:rPr>
              <w:t xml:space="preserve">Action by the DGP-WG is in paragraph </w:t>
            </w:r>
            <w:r w:rsidRPr="00F17697">
              <w:rPr>
                <w:szCs w:val="22"/>
              </w:rPr>
              <w:fldChar w:fldCharType="begin"/>
            </w:r>
            <w:r w:rsidRPr="00F17697">
              <w:rPr>
                <w:szCs w:val="22"/>
              </w:rPr>
              <w:instrText xml:space="preserve"> REF _Ref349562755 \r \h </w:instrText>
            </w:r>
            <w:r w:rsidRPr="00F17697">
              <w:rPr>
                <w:szCs w:val="22"/>
              </w:rPr>
            </w:r>
            <w:r w:rsidRPr="00F17697">
              <w:rPr>
                <w:szCs w:val="22"/>
              </w:rPr>
              <w:fldChar w:fldCharType="separate"/>
            </w:r>
            <w:r w:rsidRPr="00F17697">
              <w:rPr>
                <w:szCs w:val="22"/>
                <w:cs/>
              </w:rPr>
              <w:t>‎</w:t>
            </w:r>
            <w:r w:rsidRPr="00F17697">
              <w:rPr>
                <w:szCs w:val="22"/>
              </w:rPr>
              <w:t>2</w:t>
            </w:r>
            <w:r w:rsidRPr="00F17697">
              <w:rPr>
                <w:szCs w:val="22"/>
              </w:rPr>
              <w:fldChar w:fldCharType="end"/>
            </w:r>
            <w:r w:rsidRPr="00F17697">
              <w:rPr>
                <w:szCs w:val="22"/>
              </w:rPr>
              <w:t>.</w:t>
            </w:r>
          </w:p>
        </w:tc>
      </w:tr>
    </w:tbl>
    <w:p w:rsidR="00FE2722" w:rsidRDefault="00FE2722" w:rsidP="00FE2722">
      <w:pPr>
        <w:pStyle w:val="1Heading"/>
      </w:pPr>
      <w:bookmarkStart w:id="21" w:name="beginning"/>
      <w:bookmarkEnd w:id="21"/>
      <w:r>
        <w:t>INTRODUCTION</w:t>
      </w:r>
    </w:p>
    <w:p w:rsidR="00FE2722" w:rsidRDefault="00FE2722" w:rsidP="00FE2722">
      <w:pPr>
        <w:pStyle w:val="2Para"/>
      </w:pPr>
      <w:r>
        <w:t>...</w:t>
      </w:r>
    </w:p>
    <w:p w:rsidR="00FE6475" w:rsidRDefault="00FE2722" w:rsidP="00FE2722">
      <w:pPr>
        <w:pStyle w:val="3Para"/>
      </w:pPr>
      <w:r>
        <w:t>…</w:t>
      </w:r>
    </w:p>
    <w:p w:rsidR="00FE2722" w:rsidRDefault="00FE2722" w:rsidP="00FE2722">
      <w:pPr>
        <w:pStyle w:val="Listabc"/>
      </w:pPr>
      <w:r>
        <w:t>…</w:t>
      </w:r>
    </w:p>
    <w:p w:rsidR="00FE2722" w:rsidRDefault="00FE2722" w:rsidP="00FE2722">
      <w:pPr>
        <w:pStyle w:val="Listabc"/>
      </w:pPr>
      <w:r>
        <w:t>…</w:t>
      </w:r>
    </w:p>
    <w:p w:rsidR="00FE2722" w:rsidRDefault="00FE2722" w:rsidP="00FE2722">
      <w:pPr>
        <w:pStyle w:val="List123"/>
      </w:pPr>
      <w:r>
        <w:t>…</w:t>
      </w:r>
    </w:p>
    <w:p w:rsidR="00E013C5" w:rsidRDefault="00884480" w:rsidP="00E013C5">
      <w:pPr>
        <w:pStyle w:val="1Heading"/>
      </w:pPr>
      <w:bookmarkStart w:id="22" w:name="_Ref349562755"/>
      <w:r>
        <w:t>ACTION BY THE DGP-WG</w:t>
      </w:r>
      <w:bookmarkEnd w:id="22"/>
    </w:p>
    <w:p w:rsidR="00E013C5" w:rsidRDefault="00884480" w:rsidP="00E013C5">
      <w:pPr>
        <w:pStyle w:val="2Para"/>
      </w:pPr>
      <w:r>
        <w:t>The DGP-WG is invited to:</w:t>
      </w:r>
      <w:r w:rsidR="00E013C5">
        <w:t>…</w:t>
      </w:r>
    </w:p>
    <w:p w:rsidR="00E013C5" w:rsidRDefault="00E013C5" w:rsidP="00E013C5">
      <w:pPr>
        <w:pStyle w:val="3Para"/>
      </w:pPr>
      <w:r>
        <w:t>….</w:t>
      </w:r>
    </w:p>
    <w:p w:rsidR="00E013C5" w:rsidRPr="00E013C5" w:rsidRDefault="00E013C5" w:rsidP="00E013C5">
      <w:pPr>
        <w:pStyle w:val="4Para"/>
      </w:pPr>
    </w:p>
    <w:sectPr w:rsidR="00E013C5" w:rsidRPr="00E013C5" w:rsidSect="00C4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22" w:rsidRDefault="00FE2722">
      <w:r>
        <w:separator/>
      </w:r>
    </w:p>
  </w:endnote>
  <w:endnote w:type="continuationSeparator" w:id="0">
    <w:p w:rsidR="00FE2722" w:rsidRDefault="00FE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9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DA4B7E">
      <w:rPr>
        <w:rStyle w:val="PageNumber"/>
        <w:noProof/>
        <w:sz w:val="18"/>
        <w:szCs w:val="18"/>
      </w:rPr>
      <w:t>2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9"/>
    <w:r>
      <w:rPr>
        <w:sz w:val="18"/>
        <w:szCs w:val="18"/>
      </w:rPr>
      <w:t xml:space="preserve"> </w:t>
    </w:r>
    <w:bookmarkStart w:id="30" w:name="brand_org_typist"/>
    <w:bookmarkEnd w:id="30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1" w:name="office_footer"/>
    <w:bookmarkEnd w:id="31"/>
    <w:r>
      <w:rPr>
        <w:sz w:val="18"/>
        <w:szCs w:val="18"/>
      </w:rPr>
      <w:t xml:space="preserve"> </w:t>
    </w:r>
    <w:bookmarkStart w:id="32" w:name="document_no_footer"/>
    <w:bookmarkStart w:id="33" w:name="text_footer"/>
    <w:bookmarkStart w:id="34" w:name="footer_filename"/>
    <w:bookmarkEnd w:id="32"/>
    <w:bookmarkEnd w:id="33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FE2722">
      <w:rPr>
        <w:noProof/>
        <w:sz w:val="18"/>
        <w:szCs w:val="18"/>
      </w:rPr>
      <w:t>Document3</w:t>
    </w:r>
    <w:r w:rsidR="005C1AD9">
      <w:fldChar w:fldCharType="end"/>
    </w:r>
    <w:bookmarkEnd w:id="3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22" w:rsidRDefault="00FE2722">
      <w:r>
        <w:separator/>
      </w:r>
    </w:p>
  </w:footnote>
  <w:footnote w:type="continuationSeparator" w:id="0">
    <w:p w:rsidR="00FE2722" w:rsidRDefault="00FE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DA4B7E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82"/>
    </w:tblGrid>
    <w:tr w:rsidR="00F04D7D">
      <w:tc>
        <w:tcPr>
          <w:tcW w:w="0" w:type="auto"/>
        </w:tcPr>
        <w:p w:rsidR="00F04D7D" w:rsidRPr="005945C7" w:rsidRDefault="00FE2722" w:rsidP="00E013C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document_no_header_even"/>
          <w:r>
            <w:rPr>
              <w:szCs w:val="22"/>
            </w:rPr>
            <w:t>DGP-WG/14-</w:t>
          </w:r>
          <w:r w:rsidR="00E013C5">
            <w:rPr>
              <w:szCs w:val="22"/>
            </w:rPr>
            <w:t>W</w:t>
          </w:r>
          <w:r>
            <w:rPr>
              <w:szCs w:val="22"/>
            </w:rPr>
            <w:t>P/</w:t>
          </w:r>
          <w:proofErr w:type="spellStart"/>
          <w:r>
            <w:rPr>
              <w:szCs w:val="22"/>
            </w:rPr>
            <w:t>xxxx</w:t>
          </w:r>
          <w:bookmarkEnd w:id="23"/>
          <w:proofErr w:type="spellEnd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Start w:id="25" w:name="related_to_header_even"/>
          <w:bookmarkEnd w:id="24"/>
          <w:bookmarkEnd w:id="25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884480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82"/>
    </w:tblGrid>
    <w:tr w:rsidR="00F04D7D">
      <w:trPr>
        <w:jc w:val="right"/>
      </w:trPr>
      <w:tc>
        <w:tcPr>
          <w:tcW w:w="0" w:type="auto"/>
        </w:tcPr>
        <w:p w:rsidR="00F04D7D" w:rsidRPr="00D17232" w:rsidRDefault="00FE2722" w:rsidP="00E013C5">
          <w:pPr>
            <w:rPr>
              <w:szCs w:val="22"/>
            </w:rPr>
          </w:pPr>
          <w:bookmarkStart w:id="26" w:name="document_no_header_odd"/>
          <w:r>
            <w:rPr>
              <w:szCs w:val="22"/>
            </w:rPr>
            <w:t>DGP-WG/14-</w:t>
          </w:r>
          <w:r w:rsidR="00E013C5">
            <w:rPr>
              <w:szCs w:val="22"/>
            </w:rPr>
            <w:t>W</w:t>
          </w:r>
          <w:r>
            <w:rPr>
              <w:szCs w:val="22"/>
            </w:rPr>
            <w:t>P/</w:t>
          </w:r>
          <w:proofErr w:type="spellStart"/>
          <w:r>
            <w:rPr>
              <w:szCs w:val="22"/>
            </w:rPr>
            <w:t>xxxx</w:t>
          </w:r>
          <w:bookmarkEnd w:id="26"/>
          <w:proofErr w:type="spellEnd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Start w:id="28" w:name="related_to_header_odd"/>
          <w:bookmarkEnd w:id="27"/>
          <w:bookmarkEnd w:id="28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FD820052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926E031E"/>
    <w:lvl w:ilvl="0" w:tplc="34CA6F70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A17C808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3348195B"/>
    <w:multiLevelType w:val="hybridMultilevel"/>
    <w:tmpl w:val="DE6A2B88"/>
    <w:lvl w:ilvl="0" w:tplc="B77E0B22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12DC"/>
    <w:multiLevelType w:val="multilevel"/>
    <w:tmpl w:val="74149CF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4DD40C8A"/>
    <w:multiLevelType w:val="hybridMultilevel"/>
    <w:tmpl w:val="ACD86090"/>
    <w:lvl w:ilvl="0" w:tplc="34C006D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9D6761"/>
    <w:multiLevelType w:val="hybridMultilevel"/>
    <w:tmpl w:val="64F452D4"/>
    <w:lvl w:ilvl="0" w:tplc="AE440FD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1E61BA"/>
    <w:multiLevelType w:val="multilevel"/>
    <w:tmpl w:val="ADC6190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9B63A6D"/>
    <w:multiLevelType w:val="multilevel"/>
    <w:tmpl w:val="EB0A5F4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2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A6D6B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3F62EA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4480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4B7E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13C5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7B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2722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72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E272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FE272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E272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E272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E272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E272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E272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272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272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E272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FE272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E2722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E272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FE2722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E2722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E2722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E2722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E2722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E2722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E2722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FE272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FE272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FE272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FE2722"/>
    <w:pPr>
      <w:spacing w:before="260" w:after="260"/>
      <w:ind w:left="1440"/>
    </w:pPr>
  </w:style>
  <w:style w:type="paragraph" w:customStyle="1" w:styleId="ListIndt3">
    <w:name w:val="ListIndt_3"/>
    <w:basedOn w:val="Normal"/>
    <w:rsid w:val="00FE2722"/>
    <w:pPr>
      <w:spacing w:before="260" w:after="260"/>
      <w:ind w:left="1800"/>
    </w:pPr>
  </w:style>
  <w:style w:type="paragraph" w:customStyle="1" w:styleId="ListIndt4">
    <w:name w:val="ListIndt_4"/>
    <w:basedOn w:val="Normal"/>
    <w:rsid w:val="00FE2722"/>
    <w:pPr>
      <w:spacing w:before="260" w:after="260"/>
      <w:ind w:left="2160"/>
    </w:pPr>
  </w:style>
  <w:style w:type="paragraph" w:customStyle="1" w:styleId="ListTab0">
    <w:name w:val="ListTab_0"/>
    <w:basedOn w:val="Normal"/>
    <w:rsid w:val="00FE2722"/>
    <w:pPr>
      <w:spacing w:before="260" w:after="260"/>
    </w:pPr>
  </w:style>
  <w:style w:type="paragraph" w:customStyle="1" w:styleId="ListTab2">
    <w:name w:val="ListTab_2"/>
    <w:basedOn w:val="Normal"/>
    <w:rsid w:val="00FE272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E272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E2722"/>
    <w:pPr>
      <w:spacing w:before="260" w:after="260"/>
      <w:ind w:firstLine="2160"/>
    </w:pPr>
  </w:style>
  <w:style w:type="paragraph" w:customStyle="1" w:styleId="Note">
    <w:name w:val="Note"/>
    <w:next w:val="Normal"/>
    <w:rsid w:val="00FE272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FE2722"/>
    <w:pPr>
      <w:spacing w:before="260" w:after="260"/>
      <w:ind w:left="1440"/>
    </w:pPr>
  </w:style>
  <w:style w:type="paragraph" w:customStyle="1" w:styleId="ParaIndt3">
    <w:name w:val="ParaIndt_3"/>
    <w:basedOn w:val="Normal"/>
    <w:rsid w:val="00FE2722"/>
    <w:pPr>
      <w:spacing w:before="260" w:after="260"/>
      <w:ind w:left="1800"/>
    </w:pPr>
  </w:style>
  <w:style w:type="paragraph" w:customStyle="1" w:styleId="ParaIndt4">
    <w:name w:val="ParaIndt_4"/>
    <w:basedOn w:val="Normal"/>
    <w:rsid w:val="00FE2722"/>
    <w:pPr>
      <w:spacing w:before="260" w:after="260"/>
      <w:ind w:left="2160"/>
    </w:pPr>
  </w:style>
  <w:style w:type="paragraph" w:customStyle="1" w:styleId="ParaTab0">
    <w:name w:val="ParaTab_0"/>
    <w:basedOn w:val="Normal"/>
    <w:rsid w:val="00FE2722"/>
    <w:pPr>
      <w:spacing w:before="260" w:after="260"/>
    </w:pPr>
  </w:style>
  <w:style w:type="paragraph" w:customStyle="1" w:styleId="ParaTab2">
    <w:name w:val="ParaTab_2"/>
    <w:basedOn w:val="Normal"/>
    <w:rsid w:val="00FE272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E272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E272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E272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FE272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FE272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E272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E2722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E2722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F737B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72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E272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FE272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E272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E272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E272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E272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E272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272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272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E272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FE272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E2722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E272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FE2722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E2722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E2722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E2722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E2722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E2722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E2722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FE272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FE272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FE272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FE2722"/>
    <w:pPr>
      <w:spacing w:before="260" w:after="260"/>
      <w:ind w:left="1440"/>
    </w:pPr>
  </w:style>
  <w:style w:type="paragraph" w:customStyle="1" w:styleId="ListIndt3">
    <w:name w:val="ListIndt_3"/>
    <w:basedOn w:val="Normal"/>
    <w:rsid w:val="00FE2722"/>
    <w:pPr>
      <w:spacing w:before="260" w:after="260"/>
      <w:ind w:left="1800"/>
    </w:pPr>
  </w:style>
  <w:style w:type="paragraph" w:customStyle="1" w:styleId="ListIndt4">
    <w:name w:val="ListIndt_4"/>
    <w:basedOn w:val="Normal"/>
    <w:rsid w:val="00FE2722"/>
    <w:pPr>
      <w:spacing w:before="260" w:after="260"/>
      <w:ind w:left="2160"/>
    </w:pPr>
  </w:style>
  <w:style w:type="paragraph" w:customStyle="1" w:styleId="ListTab0">
    <w:name w:val="ListTab_0"/>
    <w:basedOn w:val="Normal"/>
    <w:rsid w:val="00FE2722"/>
    <w:pPr>
      <w:spacing w:before="260" w:after="260"/>
    </w:pPr>
  </w:style>
  <w:style w:type="paragraph" w:customStyle="1" w:styleId="ListTab2">
    <w:name w:val="ListTab_2"/>
    <w:basedOn w:val="Normal"/>
    <w:rsid w:val="00FE272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E272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E2722"/>
    <w:pPr>
      <w:spacing w:before="260" w:after="260"/>
      <w:ind w:firstLine="2160"/>
    </w:pPr>
  </w:style>
  <w:style w:type="paragraph" w:customStyle="1" w:styleId="Note">
    <w:name w:val="Note"/>
    <w:next w:val="Normal"/>
    <w:rsid w:val="00FE272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FE2722"/>
    <w:pPr>
      <w:spacing w:before="260" w:after="260"/>
      <w:ind w:left="1440"/>
    </w:pPr>
  </w:style>
  <w:style w:type="paragraph" w:customStyle="1" w:styleId="ParaIndt3">
    <w:name w:val="ParaIndt_3"/>
    <w:basedOn w:val="Normal"/>
    <w:rsid w:val="00FE2722"/>
    <w:pPr>
      <w:spacing w:before="260" w:after="260"/>
      <w:ind w:left="1800"/>
    </w:pPr>
  </w:style>
  <w:style w:type="paragraph" w:customStyle="1" w:styleId="ParaIndt4">
    <w:name w:val="ParaIndt_4"/>
    <w:basedOn w:val="Normal"/>
    <w:rsid w:val="00FE2722"/>
    <w:pPr>
      <w:spacing w:before="260" w:after="260"/>
      <w:ind w:left="2160"/>
    </w:pPr>
  </w:style>
  <w:style w:type="paragraph" w:customStyle="1" w:styleId="ParaTab0">
    <w:name w:val="ParaTab_0"/>
    <w:basedOn w:val="Normal"/>
    <w:rsid w:val="00FE2722"/>
    <w:pPr>
      <w:spacing w:before="260" w:after="260"/>
    </w:pPr>
  </w:style>
  <w:style w:type="paragraph" w:customStyle="1" w:styleId="ParaTab2">
    <w:name w:val="ParaTab_2"/>
    <w:basedOn w:val="Normal"/>
    <w:rsid w:val="00FE272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E272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E272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E272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FE272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FE272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E272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E2722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E2722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F737B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77A382DF9D4B8249800DDC450F40" ma:contentTypeVersion="0" ma:contentTypeDescription="Create a new document." ma:contentTypeScope="" ma:versionID="457557d0b1d5f0dcfab4f8f82653b7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ED7FA-877E-41D9-ACA5-93468E45CE65}"/>
</file>

<file path=customXml/itemProps2.xml><?xml version="1.0" encoding="utf-8"?>
<ds:datastoreItem xmlns:ds="http://schemas.openxmlformats.org/officeDocument/2006/customXml" ds:itemID="{716EFE19-0DEE-4222-8F38-0E8F471CB3BA}"/>
</file>

<file path=customXml/itemProps3.xml><?xml version="1.0" encoding="utf-8"?>
<ds:datastoreItem xmlns:ds="http://schemas.openxmlformats.org/officeDocument/2006/customXml" ds:itemID="{8B97A677-F61E-4BD6-BBE0-874ED4CCAFFA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3</TotalTime>
  <Pages>2</Pages>
  <Words>398</Words>
  <Characters>2308</Characters>
  <Application>Microsoft Office Word</Application>
  <DocSecurity>0</DocSecurity>
  <Lines>130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McGuigan</dc:creator>
  <cp:lastModifiedBy>Chen, Xuefei</cp:lastModifiedBy>
  <cp:revision>6</cp:revision>
  <dcterms:created xsi:type="dcterms:W3CDTF">2014-09-10T00:00:00Z</dcterms:created>
  <dcterms:modified xsi:type="dcterms:W3CDTF">2014-09-17T18:58:00Z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DGP-WG</vt:lpwstr>
  </property>
  <property fmtid="{D5CDD505-2E9C-101B-9397-08002B2CF9AE}" pid="3" name="BodySession">
    <vt:lpwstr>2011</vt:lpwstr>
  </property>
  <property fmtid="{D5CDD505-2E9C-101B-9397-08002B2CF9AE}" pid="4" name="BodyAbbrev">
    <vt:lpwstr>DGP-WG</vt:lpwstr>
  </property>
  <property fmtid="{D5CDD505-2E9C-101B-9397-08002B2CF9AE}" pid="5" name="SessionNum">
    <vt:lpwstr>2011</vt:lpwstr>
  </property>
  <property fmtid="{D5CDD505-2E9C-101B-9397-08002B2CF9AE}" pid="6" name="BodyTypeID">
    <vt:lpwstr>13</vt:lpwstr>
  </property>
  <property fmtid="{D5CDD505-2E9C-101B-9397-08002B2CF9AE}" pid="7" name="DocCatAbbre">
    <vt:lpwstr>IP</vt:lpwstr>
  </property>
  <property fmtid="{D5CDD505-2E9C-101B-9397-08002B2CF9AE}" pid="8" name="DocCatID">
    <vt:lpwstr>23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0x0101004FCA77A382DF9D4B8249800DDC450F40</vt:lpwstr>
  </property>
</Properties>
</file>